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072E" w14:textId="39DC4916" w:rsidR="00046641" w:rsidRDefault="00046641" w:rsidP="0041799D">
      <w:pPr>
        <w:jc w:val="center"/>
        <w:rPr>
          <w:b/>
          <w:color w:val="00B0F0"/>
          <w:sz w:val="28"/>
          <w:szCs w:val="28"/>
          <w:u w:val="single"/>
        </w:rPr>
      </w:pPr>
    </w:p>
    <w:p w14:paraId="09C97F26" w14:textId="01C34676" w:rsidR="0041799D" w:rsidRPr="00E7630E" w:rsidRDefault="0041799D" w:rsidP="0041799D">
      <w:pPr>
        <w:jc w:val="center"/>
        <w:rPr>
          <w:rFonts w:asciiTheme="minorHAnsi" w:eastAsia="Times New Roman" w:hAnsiTheme="minorHAnsi" w:cstheme="minorHAnsi"/>
          <w:color w:val="auto"/>
          <w:sz w:val="36"/>
          <w:szCs w:val="36"/>
          <w:lang w:val="en-GB" w:eastAsia="en-GB"/>
          <w14:shadow w14:blurRad="50800" w14:dist="38100" w14:dir="2700000" w14:sx="100000" w14:sy="100000" w14:kx="0" w14:ky="0" w14:algn="tl">
            <w14:srgbClr w14:val="000000">
              <w14:alpha w14:val="60000"/>
            </w14:srgbClr>
          </w14:shadow>
        </w:rPr>
      </w:pPr>
      <w:r w:rsidRPr="00E7630E">
        <w:rPr>
          <w:rFonts w:asciiTheme="minorHAnsi" w:eastAsia="Times New Roman" w:hAnsiTheme="minorHAnsi" w:cstheme="minorHAnsi"/>
          <w:color w:val="auto"/>
          <w:sz w:val="36"/>
          <w:szCs w:val="36"/>
          <w:lang w:val="en-GB" w:eastAsia="en-GB"/>
          <w14:shadow w14:blurRad="50800" w14:dist="38100" w14:dir="2700000" w14:sx="100000" w14:sy="100000" w14:kx="0" w14:ky="0" w14:algn="tl">
            <w14:srgbClr w14:val="000000">
              <w14:alpha w14:val="60000"/>
            </w14:srgbClr>
          </w14:shadow>
        </w:rPr>
        <w:t xml:space="preserve">Barclays </w:t>
      </w:r>
      <w:r w:rsidR="00F1582A">
        <w:rPr>
          <w:rFonts w:asciiTheme="minorHAnsi" w:eastAsia="Times New Roman" w:hAnsiTheme="minorHAnsi" w:cstheme="minorHAnsi"/>
          <w:color w:val="auto"/>
          <w:sz w:val="36"/>
          <w:szCs w:val="36"/>
          <w:lang w:val="en-GB" w:eastAsia="en-GB"/>
          <w14:shadow w14:blurRad="50800" w14:dist="38100" w14:dir="2700000" w14:sx="100000" w14:sy="100000" w14:kx="0" w14:ky="0" w14:algn="tl">
            <w14:srgbClr w14:val="000000">
              <w14:alpha w14:val="60000"/>
            </w14:srgbClr>
          </w14:shadow>
        </w:rPr>
        <w:t xml:space="preserve">Investments &amp; Loans (India) Private Limited </w:t>
      </w:r>
    </w:p>
    <w:p w14:paraId="11DACC99" w14:textId="12889FFC" w:rsidR="0041799D" w:rsidRPr="00E7630E" w:rsidRDefault="00E46E86" w:rsidP="006302FB">
      <w:pPr>
        <w:pStyle w:val="Heading1"/>
        <w:spacing w:after="0" w:line="240" w:lineRule="auto"/>
        <w:ind w:left="0"/>
        <w:jc w:val="center"/>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pPr>
      <w:bookmarkStart w:id="0" w:name="_Toc155014751"/>
      <w:bookmarkStart w:id="1" w:name="_Hlk157699380"/>
      <w:r w:rsidRPr="00E7630E">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 xml:space="preserve">Fair Lending Practice - </w:t>
      </w:r>
      <w:r w:rsidR="0041799D" w:rsidRPr="00E7630E">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 xml:space="preserve">Policy </w:t>
      </w:r>
      <w:r w:rsidR="00C44EF4">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 xml:space="preserve">for </w:t>
      </w:r>
      <w:r w:rsidRPr="00E7630E">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 xml:space="preserve">Penal Charges </w:t>
      </w:r>
      <w:r w:rsidR="0041799D" w:rsidRPr="00E7630E">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 xml:space="preserve">on </w:t>
      </w:r>
      <w:r w:rsidRPr="00E7630E">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Loans</w:t>
      </w:r>
      <w:bookmarkEnd w:id="0"/>
      <w:r w:rsidRPr="00E7630E">
        <w:rPr>
          <w:rFonts w:asciiTheme="minorHAnsi" w:eastAsia="Times New Roman" w:hAnsiTheme="minorHAnsi" w:cstheme="minorHAnsi"/>
          <w:b w:val="0"/>
          <w:color w:val="auto"/>
          <w:sz w:val="36"/>
          <w:szCs w:val="36"/>
          <w:lang w:val="en-GB" w:eastAsia="en-GB"/>
          <w14:shadow w14:blurRad="50800" w14:dist="38100" w14:dir="2700000" w14:sx="100000" w14:sy="100000" w14:kx="0" w14:ky="0" w14:algn="tl">
            <w14:srgbClr w14:val="000000">
              <w14:alpha w14:val="60000"/>
            </w14:srgbClr>
          </w14:shadow>
        </w:rPr>
        <w:t xml:space="preserve"> </w:t>
      </w:r>
    </w:p>
    <w:bookmarkEnd w:id="1"/>
    <w:p w14:paraId="429FE60C" w14:textId="75A0E0BA" w:rsidR="0041799D" w:rsidRPr="00E7630E" w:rsidRDefault="0041799D" w:rsidP="0041799D">
      <w:pPr>
        <w:rPr>
          <w:rFonts w:asciiTheme="minorHAnsi" w:eastAsia="Times New Roman" w:hAnsiTheme="minorHAnsi" w:cstheme="minorHAnsi"/>
          <w:color w:val="auto"/>
          <w:sz w:val="36"/>
          <w:szCs w:val="36"/>
          <w:lang w:val="en-GB" w:eastAsia="en-GB"/>
          <w14:shadow w14:blurRad="50800" w14:dist="38100" w14:dir="2700000" w14:sx="100000" w14:sy="100000" w14:kx="0" w14:ky="0" w14:algn="tl">
            <w14:srgbClr w14:val="000000">
              <w14:alpha w14:val="60000"/>
            </w14:srgbClr>
          </w14:shadow>
        </w:rPr>
      </w:pPr>
    </w:p>
    <w:tbl>
      <w:tblPr>
        <w:tblW w:w="9000" w:type="dxa"/>
        <w:tblInd w:w="107" w:type="dxa"/>
        <w:tblLayout w:type="fixed"/>
        <w:tblCellMar>
          <w:left w:w="107" w:type="dxa"/>
          <w:right w:w="107" w:type="dxa"/>
        </w:tblCellMar>
        <w:tblLook w:val="0000" w:firstRow="0" w:lastRow="0" w:firstColumn="0" w:lastColumn="0" w:noHBand="0" w:noVBand="0"/>
      </w:tblPr>
      <w:tblGrid>
        <w:gridCol w:w="3261"/>
        <w:gridCol w:w="5739"/>
      </w:tblGrid>
      <w:tr w:rsidR="00E7630E" w:rsidRPr="00E7630E" w14:paraId="71BCD419" w14:textId="77777777" w:rsidTr="00EF6CEE">
        <w:tc>
          <w:tcPr>
            <w:tcW w:w="3261" w:type="dxa"/>
          </w:tcPr>
          <w:p w14:paraId="661EB883" w14:textId="77777777" w:rsidR="00046641" w:rsidRPr="00E7630E" w:rsidRDefault="00046641" w:rsidP="00EF6CEE">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Classification:</w:t>
            </w:r>
          </w:p>
        </w:tc>
        <w:tc>
          <w:tcPr>
            <w:tcW w:w="5739" w:type="dxa"/>
          </w:tcPr>
          <w:p w14:paraId="439978D1" w14:textId="5F5FA950" w:rsidR="00046641" w:rsidRPr="00E7630E" w:rsidRDefault="00046641" w:rsidP="00C44EF4">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 xml:space="preserve">Restricted - Internal. </w:t>
            </w:r>
          </w:p>
        </w:tc>
      </w:tr>
      <w:tr w:rsidR="00E7630E" w:rsidRPr="00E7630E" w14:paraId="61567AB4" w14:textId="77777777" w:rsidTr="00EF6CEE">
        <w:tc>
          <w:tcPr>
            <w:tcW w:w="3261" w:type="dxa"/>
          </w:tcPr>
          <w:p w14:paraId="7421ABAE" w14:textId="77777777" w:rsidR="00046641" w:rsidRPr="00E7630E" w:rsidRDefault="00046641" w:rsidP="00EF6CEE">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Author(s):</w:t>
            </w:r>
          </w:p>
        </w:tc>
        <w:tc>
          <w:tcPr>
            <w:tcW w:w="5739" w:type="dxa"/>
          </w:tcPr>
          <w:p w14:paraId="4AC421EE" w14:textId="47DC5551" w:rsidR="00046641" w:rsidRPr="00E7630E" w:rsidRDefault="00F1582A" w:rsidP="00C44EF4">
            <w:pPr>
              <w:spacing w:before="60" w:after="60"/>
              <w:ind w:left="-107" w:right="42"/>
              <w:rPr>
                <w:rFonts w:asciiTheme="minorHAnsi" w:hAnsiTheme="minorHAnsi" w:cstheme="minorHAnsi"/>
                <w:b/>
                <w:noProof/>
                <w:color w:val="auto"/>
                <w:sz w:val="20"/>
                <w:lang w:val="it-IT"/>
              </w:rPr>
            </w:pPr>
            <w:r>
              <w:rPr>
                <w:rFonts w:asciiTheme="minorHAnsi" w:hAnsiTheme="minorHAnsi" w:cstheme="minorHAnsi"/>
                <w:b/>
                <w:noProof/>
                <w:color w:val="auto"/>
                <w:sz w:val="20"/>
                <w:lang w:val="fr-FR"/>
              </w:rPr>
              <w:t xml:space="preserve"> </w:t>
            </w:r>
            <w:r w:rsidR="004214BD">
              <w:rPr>
                <w:rFonts w:asciiTheme="minorHAnsi" w:hAnsiTheme="minorHAnsi" w:cstheme="minorHAnsi"/>
                <w:b/>
                <w:noProof/>
                <w:color w:val="auto"/>
                <w:sz w:val="20"/>
                <w:lang w:val="fr-FR"/>
              </w:rPr>
              <w:t>Ruzbeh Sutaria</w:t>
            </w:r>
          </w:p>
        </w:tc>
      </w:tr>
      <w:tr w:rsidR="00E7630E" w:rsidRPr="00E7630E" w14:paraId="5E1D5842" w14:textId="77777777" w:rsidTr="00EF6CEE">
        <w:tc>
          <w:tcPr>
            <w:tcW w:w="3261" w:type="dxa"/>
          </w:tcPr>
          <w:p w14:paraId="4DAE4406" w14:textId="77777777" w:rsidR="00046641" w:rsidRPr="00E7630E" w:rsidRDefault="00046641" w:rsidP="00EF6CEE">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Version Control No:</w:t>
            </w:r>
          </w:p>
        </w:tc>
        <w:tc>
          <w:tcPr>
            <w:tcW w:w="5739" w:type="dxa"/>
          </w:tcPr>
          <w:p w14:paraId="317484F4" w14:textId="2D9F01AB" w:rsidR="00046641" w:rsidRPr="00E7630E" w:rsidRDefault="00046641" w:rsidP="00EF6CEE">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Version  1</w:t>
            </w:r>
          </w:p>
        </w:tc>
      </w:tr>
      <w:tr w:rsidR="00E7630E" w:rsidRPr="00E7630E" w14:paraId="6BA1E56F" w14:textId="77777777" w:rsidTr="00EF6CEE">
        <w:tc>
          <w:tcPr>
            <w:tcW w:w="3261" w:type="dxa"/>
          </w:tcPr>
          <w:p w14:paraId="360C1A7D" w14:textId="77777777" w:rsidR="00046641" w:rsidRPr="00E7630E" w:rsidRDefault="00046641" w:rsidP="00EF6CEE">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Next Review Date</w:t>
            </w:r>
          </w:p>
        </w:tc>
        <w:tc>
          <w:tcPr>
            <w:tcW w:w="5739" w:type="dxa"/>
          </w:tcPr>
          <w:p w14:paraId="09610FA5" w14:textId="7802B8F3" w:rsidR="00046641" w:rsidRPr="00E7630E" w:rsidRDefault="009F1D96" w:rsidP="00F1582A">
            <w:pPr>
              <w:spacing w:before="60" w:after="60"/>
              <w:ind w:left="-107" w:right="42"/>
              <w:rPr>
                <w:rFonts w:asciiTheme="minorHAnsi" w:hAnsiTheme="minorHAnsi" w:cstheme="minorHAnsi"/>
                <w:b/>
                <w:noProof/>
                <w:color w:val="auto"/>
                <w:sz w:val="20"/>
              </w:rPr>
            </w:pPr>
            <w:r>
              <w:rPr>
                <w:rFonts w:asciiTheme="minorHAnsi" w:hAnsiTheme="minorHAnsi" w:cstheme="minorHAnsi"/>
                <w:b/>
                <w:noProof/>
                <w:color w:val="auto"/>
                <w:sz w:val="20"/>
              </w:rPr>
              <w:t>February 15, 2025</w:t>
            </w:r>
            <w:r w:rsidR="00C44EF4">
              <w:rPr>
                <w:rFonts w:asciiTheme="minorHAnsi" w:hAnsiTheme="minorHAnsi" w:cstheme="minorHAnsi"/>
                <w:b/>
                <w:noProof/>
                <w:color w:val="auto"/>
                <w:sz w:val="20"/>
              </w:rPr>
              <w:t xml:space="preserve">, subject to </w:t>
            </w:r>
            <w:r w:rsidR="00FF315D">
              <w:rPr>
                <w:rFonts w:asciiTheme="minorHAnsi" w:hAnsiTheme="minorHAnsi" w:cstheme="minorHAnsi"/>
                <w:b/>
                <w:noProof/>
                <w:color w:val="auto"/>
                <w:sz w:val="20"/>
              </w:rPr>
              <w:t>earlier review necessitated by change in regulation</w:t>
            </w:r>
          </w:p>
        </w:tc>
      </w:tr>
      <w:tr w:rsidR="00E7630E" w:rsidRPr="00E7630E" w14:paraId="40D71325" w14:textId="77777777" w:rsidTr="00EF6CEE">
        <w:tc>
          <w:tcPr>
            <w:tcW w:w="3261" w:type="dxa"/>
          </w:tcPr>
          <w:p w14:paraId="3CEBD1E1" w14:textId="77777777" w:rsidR="00046641" w:rsidRPr="00E7630E" w:rsidRDefault="00046641" w:rsidP="00EF6CEE">
            <w:pPr>
              <w:spacing w:before="60" w:after="60"/>
              <w:ind w:left="-107" w:right="42"/>
              <w:rPr>
                <w:rFonts w:asciiTheme="minorHAnsi" w:hAnsiTheme="minorHAnsi" w:cstheme="minorHAnsi"/>
                <w:b/>
                <w:noProof/>
                <w:color w:val="auto"/>
                <w:sz w:val="20"/>
              </w:rPr>
            </w:pPr>
            <w:r w:rsidRPr="00E7630E">
              <w:rPr>
                <w:rFonts w:asciiTheme="minorHAnsi" w:hAnsiTheme="minorHAnsi" w:cstheme="minorHAnsi"/>
                <w:b/>
                <w:noProof/>
                <w:color w:val="auto"/>
                <w:sz w:val="20"/>
              </w:rPr>
              <w:t>Document Owner</w:t>
            </w:r>
          </w:p>
        </w:tc>
        <w:tc>
          <w:tcPr>
            <w:tcW w:w="5739" w:type="dxa"/>
          </w:tcPr>
          <w:p w14:paraId="3DDF76A3" w14:textId="77574667" w:rsidR="00046641" w:rsidRPr="00E7630E" w:rsidDel="00625682" w:rsidRDefault="004214BD" w:rsidP="00FF315D">
            <w:pPr>
              <w:spacing w:before="60" w:after="60"/>
              <w:ind w:left="-107" w:right="42"/>
              <w:rPr>
                <w:rFonts w:asciiTheme="minorHAnsi" w:hAnsiTheme="minorHAnsi" w:cstheme="minorHAnsi"/>
                <w:b/>
                <w:noProof/>
                <w:color w:val="auto"/>
                <w:sz w:val="20"/>
                <w:lang w:val="fr-FR"/>
              </w:rPr>
            </w:pPr>
            <w:r>
              <w:rPr>
                <w:rFonts w:asciiTheme="minorHAnsi" w:hAnsiTheme="minorHAnsi" w:cstheme="minorHAnsi"/>
                <w:b/>
                <w:noProof/>
                <w:color w:val="auto"/>
                <w:sz w:val="20"/>
                <w:lang w:val="fr-FR"/>
              </w:rPr>
              <w:t xml:space="preserve"> Ruzbeh Sutaria</w:t>
            </w:r>
            <w:r w:rsidR="00F1582A">
              <w:rPr>
                <w:rFonts w:asciiTheme="minorHAnsi" w:hAnsiTheme="minorHAnsi" w:cstheme="minorHAnsi"/>
                <w:b/>
                <w:noProof/>
                <w:color w:val="auto"/>
                <w:sz w:val="20"/>
                <w:lang w:val="fr-FR"/>
              </w:rPr>
              <w:t xml:space="preserve"> </w:t>
            </w:r>
          </w:p>
        </w:tc>
      </w:tr>
    </w:tbl>
    <w:p w14:paraId="37DA46AB" w14:textId="51C2528E" w:rsidR="00046641" w:rsidRDefault="00046641" w:rsidP="0041799D">
      <w:pPr>
        <w:rPr>
          <w:rFonts w:eastAsia="Times New Roman"/>
          <w:color w:val="auto"/>
          <w:sz w:val="36"/>
          <w:szCs w:val="36"/>
          <w:lang w:val="en-GB" w:eastAsia="en-GB"/>
          <w14:shadow w14:blurRad="50800" w14:dist="38100" w14:dir="2700000" w14:sx="100000" w14:sy="100000" w14:kx="0" w14:ky="0" w14:algn="tl">
            <w14:srgbClr w14:val="000000">
              <w14:alpha w14:val="60000"/>
            </w14:srgbClr>
          </w14:shadow>
        </w:rPr>
      </w:pPr>
    </w:p>
    <w:p w14:paraId="14276211" w14:textId="5A4E9579" w:rsidR="00DB36AC" w:rsidRDefault="00046641">
      <w:pPr>
        <w:spacing w:after="160" w:line="259" w:lineRule="auto"/>
        <w:ind w:left="0" w:firstLine="0"/>
        <w:jc w:val="left"/>
        <w:rPr>
          <w:rFonts w:eastAsia="Times New Roman"/>
          <w:b/>
          <w:color w:val="auto"/>
          <w:sz w:val="36"/>
          <w:szCs w:val="36"/>
          <w:lang w:val="en-GB" w:eastAsia="en-GB"/>
          <w14:shadow w14:blurRad="50800" w14:dist="38100" w14:dir="2700000" w14:sx="100000" w14:sy="100000" w14:kx="0" w14:ky="0" w14:algn="tl">
            <w14:srgbClr w14:val="000000">
              <w14:alpha w14:val="60000"/>
            </w14:srgbClr>
          </w14:shadow>
        </w:rPr>
      </w:pPr>
      <w:r w:rsidRPr="00046641">
        <w:rPr>
          <w:rFonts w:eastAsia="Times New Roman"/>
          <w:color w:val="auto"/>
          <w:sz w:val="36"/>
          <w:szCs w:val="36"/>
          <w:lang w:val="en-GB" w:eastAsia="en-GB"/>
          <w14:shadow w14:blurRad="50800" w14:dist="38100" w14:dir="2700000" w14:sx="100000" w14:sy="100000" w14:kx="0" w14:ky="0" w14:algn="tl">
            <w14:srgbClr w14:val="000000">
              <w14:alpha w14:val="60000"/>
            </w14:srgbClr>
          </w14:shadow>
        </w:rPr>
        <w:br w:type="page"/>
      </w:r>
    </w:p>
    <w:sdt>
      <w:sdtPr>
        <w:rPr>
          <w:rFonts w:ascii="Arial" w:eastAsia="Arial" w:hAnsi="Arial" w:cs="Arial"/>
          <w:color w:val="000000"/>
          <w:sz w:val="24"/>
          <w:szCs w:val="22"/>
        </w:rPr>
        <w:id w:val="-497731839"/>
        <w:docPartObj>
          <w:docPartGallery w:val="Table of Contents"/>
          <w:docPartUnique/>
        </w:docPartObj>
      </w:sdtPr>
      <w:sdtEndPr>
        <w:rPr>
          <w:b/>
          <w:bCs/>
          <w:noProof/>
        </w:rPr>
      </w:sdtEndPr>
      <w:sdtContent>
        <w:p w14:paraId="45E9D621" w14:textId="3F6718B1" w:rsidR="00DB36AC" w:rsidRDefault="00DB36AC">
          <w:pPr>
            <w:pStyle w:val="TOCHeading"/>
          </w:pPr>
          <w:r>
            <w:t>Contents</w:t>
          </w:r>
        </w:p>
        <w:p w14:paraId="34446CA7" w14:textId="3BBADA71" w:rsidR="000C1C2A" w:rsidRDefault="00DB36AC">
          <w:pPr>
            <w:pStyle w:val="TOC1"/>
            <w:tabs>
              <w:tab w:val="right" w:leader="dot" w:pos="935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5014751" w:history="1">
            <w:r w:rsidR="000C1C2A" w:rsidRPr="00B25AB3">
              <w:rPr>
                <w:rStyle w:val="Hyperlink"/>
                <w:rFonts w:eastAsia="Times New Roman" w:cstheme="minorHAnsi"/>
                <w:noProof/>
                <w:lang w:val="en-GB" w:eastAsia="en-GB"/>
                <w14:shadow w14:blurRad="50800" w14:dist="38100" w14:dir="2700000" w14:sx="100000" w14:sy="100000" w14:kx="0" w14:ky="0" w14:algn="tl">
                  <w14:srgbClr w14:val="000000">
                    <w14:alpha w14:val="60000"/>
                  </w14:srgbClr>
                </w14:shadow>
              </w:rPr>
              <w:t>Fair Lending Practice - Policy for Penal Charges on Loans</w:t>
            </w:r>
            <w:r w:rsidR="000C1C2A">
              <w:rPr>
                <w:noProof/>
                <w:webHidden/>
              </w:rPr>
              <w:tab/>
            </w:r>
            <w:r w:rsidR="000C1C2A">
              <w:rPr>
                <w:noProof/>
                <w:webHidden/>
              </w:rPr>
              <w:fldChar w:fldCharType="begin"/>
            </w:r>
            <w:r w:rsidR="000C1C2A">
              <w:rPr>
                <w:noProof/>
                <w:webHidden/>
              </w:rPr>
              <w:instrText xml:space="preserve"> PAGEREF _Toc155014751 \h </w:instrText>
            </w:r>
            <w:r w:rsidR="000C1C2A">
              <w:rPr>
                <w:noProof/>
                <w:webHidden/>
              </w:rPr>
            </w:r>
            <w:r w:rsidR="000C1C2A">
              <w:rPr>
                <w:noProof/>
                <w:webHidden/>
              </w:rPr>
              <w:fldChar w:fldCharType="separate"/>
            </w:r>
            <w:r w:rsidR="00734E81">
              <w:rPr>
                <w:noProof/>
                <w:webHidden/>
              </w:rPr>
              <w:t>1</w:t>
            </w:r>
            <w:r w:rsidR="000C1C2A">
              <w:rPr>
                <w:noProof/>
                <w:webHidden/>
              </w:rPr>
              <w:fldChar w:fldCharType="end"/>
            </w:r>
          </w:hyperlink>
        </w:p>
        <w:p w14:paraId="4009122B" w14:textId="56F74226"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2" w:history="1">
            <w:r w:rsidR="000C1C2A" w:rsidRPr="00B25AB3">
              <w:rPr>
                <w:rStyle w:val="Hyperlink"/>
                <w:rFonts w:cstheme="minorHAnsi"/>
                <w:noProof/>
              </w:rPr>
              <w:t>1.</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Version History</w:t>
            </w:r>
            <w:r w:rsidR="000C1C2A">
              <w:rPr>
                <w:noProof/>
                <w:webHidden/>
              </w:rPr>
              <w:tab/>
            </w:r>
            <w:r w:rsidR="000C1C2A">
              <w:rPr>
                <w:noProof/>
                <w:webHidden/>
              </w:rPr>
              <w:fldChar w:fldCharType="begin"/>
            </w:r>
            <w:r w:rsidR="000C1C2A">
              <w:rPr>
                <w:noProof/>
                <w:webHidden/>
              </w:rPr>
              <w:instrText xml:space="preserve"> PAGEREF _Toc155014752 \h </w:instrText>
            </w:r>
            <w:r w:rsidR="000C1C2A">
              <w:rPr>
                <w:noProof/>
                <w:webHidden/>
              </w:rPr>
            </w:r>
            <w:r w:rsidR="000C1C2A">
              <w:rPr>
                <w:noProof/>
                <w:webHidden/>
              </w:rPr>
              <w:fldChar w:fldCharType="separate"/>
            </w:r>
            <w:r w:rsidR="00734E81">
              <w:rPr>
                <w:noProof/>
                <w:webHidden/>
              </w:rPr>
              <w:t>3</w:t>
            </w:r>
            <w:r w:rsidR="000C1C2A">
              <w:rPr>
                <w:noProof/>
                <w:webHidden/>
              </w:rPr>
              <w:fldChar w:fldCharType="end"/>
            </w:r>
          </w:hyperlink>
        </w:p>
        <w:p w14:paraId="370ACABF" w14:textId="4674792E"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3" w:history="1">
            <w:r w:rsidR="000C1C2A" w:rsidRPr="00B25AB3">
              <w:rPr>
                <w:rStyle w:val="Hyperlink"/>
                <w:rFonts w:cstheme="minorHAnsi"/>
                <w:noProof/>
              </w:rPr>
              <w:t>2.</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Purpose of this Policy document</w:t>
            </w:r>
            <w:r w:rsidR="000C1C2A">
              <w:rPr>
                <w:noProof/>
                <w:webHidden/>
              </w:rPr>
              <w:tab/>
            </w:r>
            <w:r w:rsidR="000C1C2A">
              <w:rPr>
                <w:noProof/>
                <w:webHidden/>
              </w:rPr>
              <w:fldChar w:fldCharType="begin"/>
            </w:r>
            <w:r w:rsidR="000C1C2A">
              <w:rPr>
                <w:noProof/>
                <w:webHidden/>
              </w:rPr>
              <w:instrText xml:space="preserve"> PAGEREF _Toc155014753 \h </w:instrText>
            </w:r>
            <w:r w:rsidR="000C1C2A">
              <w:rPr>
                <w:noProof/>
                <w:webHidden/>
              </w:rPr>
            </w:r>
            <w:r w:rsidR="000C1C2A">
              <w:rPr>
                <w:noProof/>
                <w:webHidden/>
              </w:rPr>
              <w:fldChar w:fldCharType="separate"/>
            </w:r>
            <w:r w:rsidR="00734E81">
              <w:rPr>
                <w:noProof/>
                <w:webHidden/>
              </w:rPr>
              <w:t>3</w:t>
            </w:r>
            <w:r w:rsidR="000C1C2A">
              <w:rPr>
                <w:noProof/>
                <w:webHidden/>
              </w:rPr>
              <w:fldChar w:fldCharType="end"/>
            </w:r>
          </w:hyperlink>
        </w:p>
        <w:p w14:paraId="3410D409" w14:textId="72BA9761"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4" w:history="1">
            <w:r w:rsidR="000C1C2A" w:rsidRPr="00B25AB3">
              <w:rPr>
                <w:rStyle w:val="Hyperlink"/>
                <w:rFonts w:cstheme="minorHAnsi"/>
                <w:noProof/>
              </w:rPr>
              <w:t>3.</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Procedure Ownership and  Updates</w:t>
            </w:r>
            <w:r w:rsidR="000C1C2A">
              <w:rPr>
                <w:noProof/>
                <w:webHidden/>
              </w:rPr>
              <w:tab/>
            </w:r>
            <w:r w:rsidR="000C1C2A">
              <w:rPr>
                <w:noProof/>
                <w:webHidden/>
              </w:rPr>
              <w:fldChar w:fldCharType="begin"/>
            </w:r>
            <w:r w:rsidR="000C1C2A">
              <w:rPr>
                <w:noProof/>
                <w:webHidden/>
              </w:rPr>
              <w:instrText xml:space="preserve"> PAGEREF _Toc155014754 \h </w:instrText>
            </w:r>
            <w:r w:rsidR="000C1C2A">
              <w:rPr>
                <w:noProof/>
                <w:webHidden/>
              </w:rPr>
            </w:r>
            <w:r w:rsidR="000C1C2A">
              <w:rPr>
                <w:noProof/>
                <w:webHidden/>
              </w:rPr>
              <w:fldChar w:fldCharType="separate"/>
            </w:r>
            <w:r w:rsidR="00734E81">
              <w:rPr>
                <w:noProof/>
                <w:webHidden/>
              </w:rPr>
              <w:t>3</w:t>
            </w:r>
            <w:r w:rsidR="000C1C2A">
              <w:rPr>
                <w:noProof/>
                <w:webHidden/>
              </w:rPr>
              <w:fldChar w:fldCharType="end"/>
            </w:r>
          </w:hyperlink>
        </w:p>
        <w:p w14:paraId="04A31E29" w14:textId="067936F2"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5" w:history="1">
            <w:r w:rsidR="000C1C2A" w:rsidRPr="00B25AB3">
              <w:rPr>
                <w:rStyle w:val="Hyperlink"/>
                <w:rFonts w:cstheme="minorHAnsi"/>
                <w:noProof/>
              </w:rPr>
              <w:t>4.</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Policy Approval and Governance</w:t>
            </w:r>
            <w:r w:rsidR="000C1C2A">
              <w:rPr>
                <w:noProof/>
                <w:webHidden/>
              </w:rPr>
              <w:tab/>
            </w:r>
            <w:r w:rsidR="000C1C2A">
              <w:rPr>
                <w:noProof/>
                <w:webHidden/>
              </w:rPr>
              <w:fldChar w:fldCharType="begin"/>
            </w:r>
            <w:r w:rsidR="000C1C2A">
              <w:rPr>
                <w:noProof/>
                <w:webHidden/>
              </w:rPr>
              <w:instrText xml:space="preserve"> PAGEREF _Toc155014755 \h </w:instrText>
            </w:r>
            <w:r w:rsidR="000C1C2A">
              <w:rPr>
                <w:noProof/>
                <w:webHidden/>
              </w:rPr>
            </w:r>
            <w:r w:rsidR="000C1C2A">
              <w:rPr>
                <w:noProof/>
                <w:webHidden/>
              </w:rPr>
              <w:fldChar w:fldCharType="separate"/>
            </w:r>
            <w:r w:rsidR="00734E81">
              <w:rPr>
                <w:noProof/>
                <w:webHidden/>
              </w:rPr>
              <w:t>3</w:t>
            </w:r>
            <w:r w:rsidR="000C1C2A">
              <w:rPr>
                <w:noProof/>
                <w:webHidden/>
              </w:rPr>
              <w:fldChar w:fldCharType="end"/>
            </w:r>
          </w:hyperlink>
        </w:p>
        <w:p w14:paraId="00C8C9EA" w14:textId="19E70E0A"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6" w:history="1">
            <w:r w:rsidR="000C1C2A" w:rsidRPr="00B25AB3">
              <w:rPr>
                <w:rStyle w:val="Hyperlink"/>
                <w:rFonts w:cstheme="minorHAnsi"/>
                <w:noProof/>
              </w:rPr>
              <w:t>5.</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Applicability and Implementation</w:t>
            </w:r>
            <w:r w:rsidR="000C1C2A">
              <w:rPr>
                <w:noProof/>
                <w:webHidden/>
              </w:rPr>
              <w:tab/>
            </w:r>
            <w:r w:rsidR="000C1C2A">
              <w:rPr>
                <w:noProof/>
                <w:webHidden/>
              </w:rPr>
              <w:fldChar w:fldCharType="begin"/>
            </w:r>
            <w:r w:rsidR="000C1C2A">
              <w:rPr>
                <w:noProof/>
                <w:webHidden/>
              </w:rPr>
              <w:instrText xml:space="preserve"> PAGEREF _Toc155014756 \h </w:instrText>
            </w:r>
            <w:r w:rsidR="000C1C2A">
              <w:rPr>
                <w:noProof/>
                <w:webHidden/>
              </w:rPr>
            </w:r>
            <w:r w:rsidR="000C1C2A">
              <w:rPr>
                <w:noProof/>
                <w:webHidden/>
              </w:rPr>
              <w:fldChar w:fldCharType="separate"/>
            </w:r>
            <w:r w:rsidR="00734E81">
              <w:rPr>
                <w:noProof/>
                <w:webHidden/>
              </w:rPr>
              <w:t>3</w:t>
            </w:r>
            <w:r w:rsidR="000C1C2A">
              <w:rPr>
                <w:noProof/>
                <w:webHidden/>
              </w:rPr>
              <w:fldChar w:fldCharType="end"/>
            </w:r>
          </w:hyperlink>
        </w:p>
        <w:p w14:paraId="31F6C045" w14:textId="6CFDD5A1"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7" w:history="1">
            <w:r w:rsidR="000C1C2A" w:rsidRPr="00B25AB3">
              <w:rPr>
                <w:rStyle w:val="Hyperlink"/>
                <w:rFonts w:cstheme="minorHAnsi"/>
                <w:noProof/>
              </w:rPr>
              <w:t>6.</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Regulatory Coverage</w:t>
            </w:r>
            <w:r w:rsidR="000C1C2A">
              <w:rPr>
                <w:noProof/>
                <w:webHidden/>
              </w:rPr>
              <w:tab/>
            </w:r>
            <w:r w:rsidR="000C1C2A">
              <w:rPr>
                <w:noProof/>
                <w:webHidden/>
              </w:rPr>
              <w:fldChar w:fldCharType="begin"/>
            </w:r>
            <w:r w:rsidR="000C1C2A">
              <w:rPr>
                <w:noProof/>
                <w:webHidden/>
              </w:rPr>
              <w:instrText xml:space="preserve"> PAGEREF _Toc155014757 \h </w:instrText>
            </w:r>
            <w:r w:rsidR="000C1C2A">
              <w:rPr>
                <w:noProof/>
                <w:webHidden/>
              </w:rPr>
            </w:r>
            <w:r w:rsidR="000C1C2A">
              <w:rPr>
                <w:noProof/>
                <w:webHidden/>
              </w:rPr>
              <w:fldChar w:fldCharType="separate"/>
            </w:r>
            <w:r w:rsidR="00734E81">
              <w:rPr>
                <w:noProof/>
                <w:webHidden/>
              </w:rPr>
              <w:t>4</w:t>
            </w:r>
            <w:r w:rsidR="000C1C2A">
              <w:rPr>
                <w:noProof/>
                <w:webHidden/>
              </w:rPr>
              <w:fldChar w:fldCharType="end"/>
            </w:r>
          </w:hyperlink>
        </w:p>
        <w:p w14:paraId="623ADBA0" w14:textId="5BC69984"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8" w:history="1">
            <w:r w:rsidR="000C1C2A" w:rsidRPr="00B25AB3">
              <w:rPr>
                <w:rStyle w:val="Hyperlink"/>
                <w:rFonts w:cstheme="minorHAnsi"/>
                <w:noProof/>
              </w:rPr>
              <w:t>7.</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Internal Supervision and Review</w:t>
            </w:r>
            <w:r w:rsidR="000C1C2A">
              <w:rPr>
                <w:noProof/>
                <w:webHidden/>
              </w:rPr>
              <w:tab/>
            </w:r>
            <w:r w:rsidR="000C1C2A">
              <w:rPr>
                <w:noProof/>
                <w:webHidden/>
              </w:rPr>
              <w:fldChar w:fldCharType="begin"/>
            </w:r>
            <w:r w:rsidR="000C1C2A">
              <w:rPr>
                <w:noProof/>
                <w:webHidden/>
              </w:rPr>
              <w:instrText xml:space="preserve"> PAGEREF _Toc155014758 \h </w:instrText>
            </w:r>
            <w:r w:rsidR="000C1C2A">
              <w:rPr>
                <w:noProof/>
                <w:webHidden/>
              </w:rPr>
            </w:r>
            <w:r w:rsidR="000C1C2A">
              <w:rPr>
                <w:noProof/>
                <w:webHidden/>
              </w:rPr>
              <w:fldChar w:fldCharType="separate"/>
            </w:r>
            <w:r w:rsidR="00734E81">
              <w:rPr>
                <w:noProof/>
                <w:webHidden/>
              </w:rPr>
              <w:t>5</w:t>
            </w:r>
            <w:r w:rsidR="000C1C2A">
              <w:rPr>
                <w:noProof/>
                <w:webHidden/>
              </w:rPr>
              <w:fldChar w:fldCharType="end"/>
            </w:r>
          </w:hyperlink>
        </w:p>
        <w:p w14:paraId="07087630" w14:textId="25781CC5"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59" w:history="1">
            <w:r w:rsidR="000C1C2A" w:rsidRPr="00B25AB3">
              <w:rPr>
                <w:rStyle w:val="Hyperlink"/>
                <w:rFonts w:cstheme="minorHAnsi"/>
                <w:noProof/>
              </w:rPr>
              <w:t>8.</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Scope and penal charges</w:t>
            </w:r>
            <w:r w:rsidR="000C1C2A">
              <w:rPr>
                <w:noProof/>
                <w:webHidden/>
              </w:rPr>
              <w:tab/>
            </w:r>
            <w:r w:rsidR="000C1C2A">
              <w:rPr>
                <w:noProof/>
                <w:webHidden/>
              </w:rPr>
              <w:fldChar w:fldCharType="begin"/>
            </w:r>
            <w:r w:rsidR="000C1C2A">
              <w:rPr>
                <w:noProof/>
                <w:webHidden/>
              </w:rPr>
              <w:instrText xml:space="preserve"> PAGEREF _Toc155014759 \h </w:instrText>
            </w:r>
            <w:r w:rsidR="000C1C2A">
              <w:rPr>
                <w:noProof/>
                <w:webHidden/>
              </w:rPr>
            </w:r>
            <w:r w:rsidR="000C1C2A">
              <w:rPr>
                <w:noProof/>
                <w:webHidden/>
              </w:rPr>
              <w:fldChar w:fldCharType="separate"/>
            </w:r>
            <w:r w:rsidR="00734E81">
              <w:rPr>
                <w:noProof/>
                <w:webHidden/>
              </w:rPr>
              <w:t>5</w:t>
            </w:r>
            <w:r w:rsidR="000C1C2A">
              <w:rPr>
                <w:noProof/>
                <w:webHidden/>
              </w:rPr>
              <w:fldChar w:fldCharType="end"/>
            </w:r>
          </w:hyperlink>
        </w:p>
        <w:p w14:paraId="6AAABE31" w14:textId="3CE3057E" w:rsidR="000C1C2A" w:rsidRDefault="00000000">
          <w:pPr>
            <w:pStyle w:val="TOC1"/>
            <w:tabs>
              <w:tab w:val="left" w:pos="440"/>
              <w:tab w:val="right" w:leader="dot" w:pos="9350"/>
            </w:tabs>
            <w:rPr>
              <w:rFonts w:asciiTheme="minorHAnsi" w:eastAsiaTheme="minorEastAsia" w:hAnsiTheme="minorHAnsi" w:cstheme="minorBidi"/>
              <w:noProof/>
              <w:color w:val="auto"/>
              <w:sz w:val="22"/>
            </w:rPr>
          </w:pPr>
          <w:hyperlink w:anchor="_Toc155014760" w:history="1">
            <w:r w:rsidR="000C1C2A" w:rsidRPr="00B25AB3">
              <w:rPr>
                <w:rStyle w:val="Hyperlink"/>
                <w:rFonts w:cstheme="minorHAnsi"/>
                <w:noProof/>
              </w:rPr>
              <w:t>9.</w:t>
            </w:r>
            <w:r w:rsidR="000C1C2A">
              <w:rPr>
                <w:rFonts w:asciiTheme="minorHAnsi" w:eastAsiaTheme="minorEastAsia" w:hAnsiTheme="minorHAnsi" w:cstheme="minorBidi"/>
                <w:noProof/>
                <w:color w:val="auto"/>
                <w:sz w:val="22"/>
              </w:rPr>
              <w:tab/>
            </w:r>
            <w:r w:rsidR="000C1C2A" w:rsidRPr="00B25AB3">
              <w:rPr>
                <w:rStyle w:val="Hyperlink"/>
                <w:rFonts w:cstheme="minorHAnsi"/>
                <w:noProof/>
              </w:rPr>
              <w:t>Annexures</w:t>
            </w:r>
            <w:r w:rsidR="000C1C2A">
              <w:rPr>
                <w:noProof/>
                <w:webHidden/>
              </w:rPr>
              <w:tab/>
            </w:r>
            <w:r w:rsidR="000C1C2A">
              <w:rPr>
                <w:noProof/>
                <w:webHidden/>
              </w:rPr>
              <w:fldChar w:fldCharType="begin"/>
            </w:r>
            <w:r w:rsidR="000C1C2A">
              <w:rPr>
                <w:noProof/>
                <w:webHidden/>
              </w:rPr>
              <w:instrText xml:space="preserve"> PAGEREF _Toc155014760 \h </w:instrText>
            </w:r>
            <w:r w:rsidR="000C1C2A">
              <w:rPr>
                <w:noProof/>
                <w:webHidden/>
              </w:rPr>
            </w:r>
            <w:r w:rsidR="000C1C2A">
              <w:rPr>
                <w:noProof/>
                <w:webHidden/>
              </w:rPr>
              <w:fldChar w:fldCharType="separate"/>
            </w:r>
            <w:r w:rsidR="00734E81">
              <w:rPr>
                <w:noProof/>
                <w:webHidden/>
              </w:rPr>
              <w:t>6</w:t>
            </w:r>
            <w:r w:rsidR="000C1C2A">
              <w:rPr>
                <w:noProof/>
                <w:webHidden/>
              </w:rPr>
              <w:fldChar w:fldCharType="end"/>
            </w:r>
          </w:hyperlink>
        </w:p>
        <w:p w14:paraId="36C8936B" w14:textId="400949F5" w:rsidR="00DB36AC" w:rsidRDefault="00DB36AC">
          <w:r>
            <w:rPr>
              <w:b/>
              <w:bCs/>
              <w:noProof/>
            </w:rPr>
            <w:fldChar w:fldCharType="end"/>
          </w:r>
        </w:p>
      </w:sdtContent>
    </w:sdt>
    <w:p w14:paraId="73E5668D" w14:textId="073EED6F" w:rsidR="00DB36AC" w:rsidRDefault="00DB36AC">
      <w:pPr>
        <w:spacing w:after="160" w:line="259" w:lineRule="auto"/>
        <w:ind w:left="0" w:firstLine="0"/>
        <w:jc w:val="left"/>
        <w:rPr>
          <w:rFonts w:eastAsia="Times New Roman"/>
          <w:b/>
          <w:color w:val="auto"/>
          <w:sz w:val="36"/>
          <w:szCs w:val="36"/>
          <w:lang w:val="en-GB" w:eastAsia="en-GB"/>
          <w14:shadow w14:blurRad="50800" w14:dist="38100" w14:dir="2700000" w14:sx="100000" w14:sy="100000" w14:kx="0" w14:ky="0" w14:algn="tl">
            <w14:srgbClr w14:val="000000">
              <w14:alpha w14:val="60000"/>
            </w14:srgbClr>
          </w14:shadow>
        </w:rPr>
      </w:pPr>
    </w:p>
    <w:p w14:paraId="6DFD0F6A" w14:textId="13C93108" w:rsidR="00DB36AC" w:rsidRDefault="00DB36AC">
      <w:pPr>
        <w:spacing w:after="160" w:line="259" w:lineRule="auto"/>
        <w:ind w:left="0" w:firstLine="0"/>
        <w:jc w:val="left"/>
        <w:rPr>
          <w:rFonts w:eastAsia="Times New Roman"/>
          <w:b/>
          <w:color w:val="auto"/>
          <w:sz w:val="36"/>
          <w:szCs w:val="36"/>
          <w:lang w:val="en-GB" w:eastAsia="en-GB"/>
          <w14:shadow w14:blurRad="50800" w14:dist="38100" w14:dir="2700000" w14:sx="100000" w14:sy="100000" w14:kx="0" w14:ky="0" w14:algn="tl">
            <w14:srgbClr w14:val="000000">
              <w14:alpha w14:val="60000"/>
            </w14:srgbClr>
          </w14:shadow>
        </w:rPr>
      </w:pPr>
      <w:r>
        <w:rPr>
          <w:rFonts w:eastAsia="Times New Roman"/>
          <w:color w:val="auto"/>
          <w:sz w:val="36"/>
          <w:szCs w:val="36"/>
          <w:lang w:val="en-GB" w:eastAsia="en-GB"/>
          <w14:shadow w14:blurRad="50800" w14:dist="38100" w14:dir="2700000" w14:sx="100000" w14:sy="100000" w14:kx="0" w14:ky="0" w14:algn="tl">
            <w14:srgbClr w14:val="000000">
              <w14:alpha w14:val="60000"/>
            </w14:srgbClr>
          </w14:shadow>
        </w:rPr>
        <w:br w:type="page"/>
      </w:r>
    </w:p>
    <w:p w14:paraId="3497E0C8" w14:textId="1B21E283" w:rsidR="00046641" w:rsidRPr="004F50D4" w:rsidRDefault="00046641"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2" w:name="_Toc155014752"/>
      <w:r w:rsidRPr="004F50D4">
        <w:rPr>
          <w:rFonts w:asciiTheme="minorHAnsi" w:hAnsiTheme="minorHAnsi" w:cstheme="minorHAnsi"/>
          <w:sz w:val="22"/>
        </w:rPr>
        <w:lastRenderedPageBreak/>
        <w:t>Version History</w:t>
      </w:r>
      <w:bookmarkEnd w:id="2"/>
      <w:r w:rsidRPr="004F50D4">
        <w:rPr>
          <w:rFonts w:asciiTheme="minorHAnsi" w:hAnsiTheme="minorHAnsi" w:cstheme="minorHAnsi"/>
          <w:sz w:val="22"/>
        </w:rPr>
        <w:t xml:space="preserve"> </w:t>
      </w:r>
    </w:p>
    <w:p w14:paraId="59536DE6" w14:textId="77777777" w:rsidR="00046641" w:rsidRPr="004F50D4" w:rsidRDefault="00046641" w:rsidP="004F50D4">
      <w:pPr>
        <w:spacing w:after="0" w:line="240" w:lineRule="auto"/>
        <w:ind w:right="42"/>
        <w:contextualSpacing/>
        <w:rPr>
          <w:rFonts w:asciiTheme="minorHAnsi" w:hAnsiTheme="minorHAnsi" w:cstheme="minorHAnsi"/>
          <w:sz w:val="22"/>
        </w:rPr>
      </w:pPr>
    </w:p>
    <w:tbl>
      <w:tblPr>
        <w:tblW w:w="8550" w:type="dxa"/>
        <w:tblInd w:w="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40"/>
        <w:gridCol w:w="990"/>
        <w:gridCol w:w="5220"/>
      </w:tblGrid>
      <w:tr w:rsidR="00046641" w:rsidRPr="004F50D4" w14:paraId="337268D7" w14:textId="77777777" w:rsidTr="00FF315D">
        <w:tc>
          <w:tcPr>
            <w:tcW w:w="2340" w:type="dxa"/>
            <w:shd w:val="clear" w:color="FFFF00" w:fill="E0E0E0"/>
            <w:vAlign w:val="center"/>
          </w:tcPr>
          <w:p w14:paraId="7DB1904F" w14:textId="77777777" w:rsidR="00046641" w:rsidRPr="004F50D4" w:rsidRDefault="00046641" w:rsidP="004F50D4">
            <w:pPr>
              <w:pStyle w:val="TableHeading"/>
              <w:spacing w:before="0" w:after="0"/>
              <w:ind w:right="42"/>
              <w:contextualSpacing/>
              <w:jc w:val="left"/>
              <w:rPr>
                <w:rFonts w:asciiTheme="minorHAnsi" w:hAnsiTheme="minorHAnsi" w:cstheme="minorHAnsi"/>
                <w:b w:val="0"/>
                <w:sz w:val="22"/>
                <w:szCs w:val="22"/>
              </w:rPr>
            </w:pPr>
            <w:r w:rsidRPr="004F50D4">
              <w:rPr>
                <w:rFonts w:asciiTheme="minorHAnsi" w:hAnsiTheme="minorHAnsi" w:cstheme="minorHAnsi"/>
                <w:b w:val="0"/>
                <w:sz w:val="22"/>
                <w:szCs w:val="22"/>
              </w:rPr>
              <w:t>Date of Issue</w:t>
            </w:r>
          </w:p>
        </w:tc>
        <w:tc>
          <w:tcPr>
            <w:tcW w:w="990" w:type="dxa"/>
            <w:shd w:val="clear" w:color="FFFF00" w:fill="E0E0E0"/>
            <w:vAlign w:val="center"/>
          </w:tcPr>
          <w:p w14:paraId="1FFA1C0A" w14:textId="77777777" w:rsidR="00046641" w:rsidRPr="004F50D4" w:rsidRDefault="00046641" w:rsidP="004F50D4">
            <w:pPr>
              <w:pStyle w:val="TableHeading"/>
              <w:spacing w:before="0" w:after="0"/>
              <w:ind w:right="42"/>
              <w:contextualSpacing/>
              <w:rPr>
                <w:rFonts w:asciiTheme="minorHAnsi" w:hAnsiTheme="minorHAnsi" w:cstheme="minorHAnsi"/>
                <w:b w:val="0"/>
                <w:sz w:val="22"/>
                <w:szCs w:val="22"/>
              </w:rPr>
            </w:pPr>
            <w:r w:rsidRPr="004F50D4">
              <w:rPr>
                <w:rFonts w:asciiTheme="minorHAnsi" w:hAnsiTheme="minorHAnsi" w:cstheme="minorHAnsi"/>
                <w:b w:val="0"/>
                <w:sz w:val="22"/>
                <w:szCs w:val="22"/>
              </w:rPr>
              <w:t>Version No.</w:t>
            </w:r>
          </w:p>
        </w:tc>
        <w:tc>
          <w:tcPr>
            <w:tcW w:w="5220" w:type="dxa"/>
            <w:shd w:val="clear" w:color="FFFF00" w:fill="E0E0E0"/>
            <w:vAlign w:val="center"/>
          </w:tcPr>
          <w:p w14:paraId="5912707E" w14:textId="77777777" w:rsidR="00046641" w:rsidRPr="004F50D4" w:rsidRDefault="00046641" w:rsidP="004F50D4">
            <w:pPr>
              <w:pStyle w:val="TableHeading"/>
              <w:spacing w:before="0" w:after="0"/>
              <w:ind w:right="42"/>
              <w:contextualSpacing/>
              <w:jc w:val="left"/>
              <w:rPr>
                <w:rFonts w:asciiTheme="minorHAnsi" w:hAnsiTheme="minorHAnsi" w:cstheme="minorHAnsi"/>
                <w:b w:val="0"/>
                <w:sz w:val="22"/>
                <w:szCs w:val="22"/>
              </w:rPr>
            </w:pPr>
            <w:r w:rsidRPr="004F50D4">
              <w:rPr>
                <w:rFonts w:asciiTheme="minorHAnsi" w:hAnsiTheme="minorHAnsi" w:cstheme="minorHAnsi"/>
                <w:b w:val="0"/>
                <w:sz w:val="22"/>
                <w:szCs w:val="22"/>
              </w:rPr>
              <w:t>Reason for Change</w:t>
            </w:r>
          </w:p>
        </w:tc>
      </w:tr>
      <w:tr w:rsidR="00046641" w:rsidRPr="004F50D4" w14:paraId="2EEB3439" w14:textId="77777777" w:rsidTr="00FF315D">
        <w:tc>
          <w:tcPr>
            <w:tcW w:w="2340" w:type="dxa"/>
            <w:vAlign w:val="center"/>
          </w:tcPr>
          <w:p w14:paraId="472CDC7E" w14:textId="029B3B55" w:rsidR="00046641" w:rsidRPr="004F50D4" w:rsidRDefault="009F1D96" w:rsidP="00F1582A">
            <w:pPr>
              <w:pStyle w:val="TableHeading"/>
              <w:spacing w:before="0" w:after="0"/>
              <w:ind w:right="42"/>
              <w:contextualSpacing/>
              <w:jc w:val="left"/>
              <w:rPr>
                <w:rFonts w:asciiTheme="minorHAnsi" w:hAnsiTheme="minorHAnsi" w:cstheme="minorHAnsi"/>
                <w:b w:val="0"/>
                <w:sz w:val="22"/>
                <w:szCs w:val="22"/>
              </w:rPr>
            </w:pPr>
            <w:r>
              <w:rPr>
                <w:rFonts w:asciiTheme="minorHAnsi" w:hAnsiTheme="minorHAnsi" w:cstheme="minorHAnsi"/>
                <w:b w:val="0"/>
                <w:sz w:val="22"/>
                <w:szCs w:val="22"/>
              </w:rPr>
              <w:t>February 15, 2024</w:t>
            </w:r>
          </w:p>
        </w:tc>
        <w:tc>
          <w:tcPr>
            <w:tcW w:w="990" w:type="dxa"/>
          </w:tcPr>
          <w:p w14:paraId="1F13A631" w14:textId="77777777" w:rsidR="00046641" w:rsidRPr="004F50D4" w:rsidRDefault="00046641" w:rsidP="004F50D4">
            <w:pPr>
              <w:pStyle w:val="TableHeading"/>
              <w:spacing w:before="0" w:after="0"/>
              <w:ind w:right="42"/>
              <w:contextualSpacing/>
              <w:rPr>
                <w:rFonts w:asciiTheme="minorHAnsi" w:hAnsiTheme="minorHAnsi" w:cstheme="minorHAnsi"/>
                <w:b w:val="0"/>
                <w:sz w:val="22"/>
                <w:szCs w:val="22"/>
              </w:rPr>
            </w:pPr>
            <w:r w:rsidRPr="004F50D4">
              <w:rPr>
                <w:rFonts w:asciiTheme="minorHAnsi" w:hAnsiTheme="minorHAnsi" w:cstheme="minorHAnsi"/>
                <w:b w:val="0"/>
                <w:sz w:val="22"/>
                <w:szCs w:val="22"/>
              </w:rPr>
              <w:t>1.0</w:t>
            </w:r>
          </w:p>
        </w:tc>
        <w:tc>
          <w:tcPr>
            <w:tcW w:w="5220" w:type="dxa"/>
          </w:tcPr>
          <w:p w14:paraId="4FDB662A" w14:textId="1C78CEFA" w:rsidR="00046641" w:rsidRPr="004F50D4" w:rsidRDefault="00046641" w:rsidP="00C44FB5">
            <w:pPr>
              <w:pStyle w:val="TableHeading"/>
              <w:spacing w:before="0" w:after="0"/>
              <w:ind w:right="42"/>
              <w:contextualSpacing/>
              <w:jc w:val="left"/>
              <w:rPr>
                <w:rFonts w:asciiTheme="minorHAnsi" w:hAnsiTheme="minorHAnsi" w:cstheme="minorHAnsi"/>
                <w:b w:val="0"/>
                <w:sz w:val="22"/>
                <w:szCs w:val="22"/>
              </w:rPr>
            </w:pPr>
            <w:r w:rsidRPr="004F50D4">
              <w:rPr>
                <w:rFonts w:asciiTheme="minorHAnsi" w:hAnsiTheme="minorHAnsi" w:cstheme="minorHAnsi"/>
                <w:b w:val="0"/>
                <w:sz w:val="22"/>
                <w:szCs w:val="22"/>
              </w:rPr>
              <w:t xml:space="preserve">To incorporate </w:t>
            </w:r>
            <w:r w:rsidR="00CD5765" w:rsidRPr="004F50D4">
              <w:rPr>
                <w:rFonts w:asciiTheme="minorHAnsi" w:hAnsiTheme="minorHAnsi" w:cstheme="minorHAnsi"/>
                <w:b w:val="0"/>
                <w:sz w:val="22"/>
                <w:szCs w:val="22"/>
              </w:rPr>
              <w:t xml:space="preserve">regulatory provisions </w:t>
            </w:r>
            <w:r w:rsidR="00C44FB5">
              <w:rPr>
                <w:rFonts w:asciiTheme="minorHAnsi" w:hAnsiTheme="minorHAnsi" w:cstheme="minorHAnsi"/>
                <w:b w:val="0"/>
                <w:sz w:val="22"/>
                <w:szCs w:val="22"/>
              </w:rPr>
              <w:t xml:space="preserve">for penal charges further to the </w:t>
            </w:r>
            <w:r w:rsidR="00CD5765" w:rsidRPr="004F50D4">
              <w:rPr>
                <w:rFonts w:asciiTheme="minorHAnsi" w:hAnsiTheme="minorHAnsi" w:cstheme="minorHAnsi"/>
                <w:b w:val="0"/>
                <w:sz w:val="22"/>
                <w:szCs w:val="22"/>
              </w:rPr>
              <w:t xml:space="preserve">Reserve Bank of India </w:t>
            </w:r>
            <w:r w:rsidR="00C44FB5">
              <w:rPr>
                <w:rFonts w:asciiTheme="minorHAnsi" w:hAnsiTheme="minorHAnsi" w:cstheme="minorHAnsi"/>
                <w:b w:val="0"/>
                <w:sz w:val="22"/>
                <w:szCs w:val="22"/>
              </w:rPr>
              <w:t xml:space="preserve">regulation issued </w:t>
            </w:r>
            <w:r w:rsidR="00CD5765" w:rsidRPr="004F50D4">
              <w:rPr>
                <w:rFonts w:asciiTheme="minorHAnsi" w:hAnsiTheme="minorHAnsi" w:cstheme="minorHAnsi"/>
                <w:b w:val="0"/>
                <w:sz w:val="22"/>
                <w:szCs w:val="22"/>
              </w:rPr>
              <w:t>in 2023</w:t>
            </w:r>
          </w:p>
        </w:tc>
      </w:tr>
    </w:tbl>
    <w:p w14:paraId="7E59AB8A" w14:textId="2C1D5766" w:rsidR="008C4072" w:rsidRPr="004F50D4" w:rsidRDefault="008C4072" w:rsidP="004F50D4">
      <w:pPr>
        <w:pStyle w:val="Heading1"/>
        <w:spacing w:after="0" w:line="240" w:lineRule="auto"/>
        <w:ind w:left="0"/>
        <w:contextualSpacing/>
        <w:rPr>
          <w:rFonts w:asciiTheme="minorHAnsi" w:hAnsiTheme="minorHAnsi" w:cstheme="minorHAnsi"/>
          <w:sz w:val="22"/>
        </w:rPr>
      </w:pPr>
      <w:bookmarkStart w:id="3" w:name="_Toc49708980"/>
    </w:p>
    <w:p w14:paraId="5614B06B" w14:textId="1CCE8E71" w:rsidR="0053308B" w:rsidRPr="004F50D4" w:rsidRDefault="00D56BAC"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4" w:name="_Toc155014753"/>
      <w:r w:rsidRPr="004F50D4">
        <w:rPr>
          <w:rFonts w:asciiTheme="minorHAnsi" w:hAnsiTheme="minorHAnsi" w:cstheme="minorHAnsi"/>
          <w:sz w:val="22"/>
        </w:rPr>
        <w:t>Purpose of this</w:t>
      </w:r>
      <w:r w:rsidR="00CD5765" w:rsidRPr="004F50D4">
        <w:rPr>
          <w:rFonts w:asciiTheme="minorHAnsi" w:hAnsiTheme="minorHAnsi" w:cstheme="minorHAnsi"/>
          <w:sz w:val="22"/>
        </w:rPr>
        <w:t xml:space="preserve"> Policy</w:t>
      </w:r>
      <w:r w:rsidRPr="004F50D4">
        <w:rPr>
          <w:rFonts w:asciiTheme="minorHAnsi" w:hAnsiTheme="minorHAnsi" w:cstheme="minorHAnsi"/>
          <w:sz w:val="22"/>
        </w:rPr>
        <w:t xml:space="preserve"> document</w:t>
      </w:r>
      <w:bookmarkEnd w:id="4"/>
    </w:p>
    <w:p w14:paraId="4B70CA57" w14:textId="77777777" w:rsidR="0053308B" w:rsidRPr="004F50D4" w:rsidRDefault="0053308B" w:rsidP="004F50D4">
      <w:pPr>
        <w:pStyle w:val="ListParagraph"/>
        <w:spacing w:after="0" w:line="240" w:lineRule="auto"/>
        <w:ind w:left="1440" w:firstLine="0"/>
        <w:rPr>
          <w:rFonts w:asciiTheme="minorHAnsi" w:hAnsiTheme="minorHAnsi" w:cstheme="minorHAnsi"/>
          <w:sz w:val="22"/>
        </w:rPr>
      </w:pPr>
    </w:p>
    <w:p w14:paraId="772B819A" w14:textId="6E5DA02F" w:rsidR="00D56BAC" w:rsidRPr="004F50D4" w:rsidRDefault="00D56BAC" w:rsidP="004F50D4">
      <w:pPr>
        <w:pStyle w:val="ListParagraph"/>
        <w:numPr>
          <w:ilvl w:val="1"/>
          <w:numId w:val="12"/>
        </w:numPr>
        <w:spacing w:after="0" w:line="240" w:lineRule="auto"/>
        <w:ind w:left="1440" w:hanging="720"/>
        <w:rPr>
          <w:rFonts w:asciiTheme="minorHAnsi" w:hAnsiTheme="minorHAnsi" w:cstheme="minorHAnsi"/>
          <w:sz w:val="22"/>
        </w:rPr>
      </w:pPr>
      <w:bookmarkStart w:id="5" w:name="_Hlk157763160"/>
      <w:r w:rsidRPr="004F50D4">
        <w:rPr>
          <w:rFonts w:asciiTheme="minorHAnsi" w:hAnsiTheme="minorHAnsi" w:cstheme="minorHAnsi"/>
          <w:sz w:val="22"/>
        </w:rPr>
        <w:t xml:space="preserve">This </w:t>
      </w:r>
      <w:r w:rsidR="00CD5765" w:rsidRPr="004F50D4">
        <w:rPr>
          <w:rFonts w:asciiTheme="minorHAnsi" w:hAnsiTheme="minorHAnsi" w:cstheme="minorHAnsi"/>
          <w:sz w:val="22"/>
        </w:rPr>
        <w:t>P</w:t>
      </w:r>
      <w:r w:rsidRPr="004F50D4">
        <w:rPr>
          <w:rFonts w:asciiTheme="minorHAnsi" w:hAnsiTheme="minorHAnsi" w:cstheme="minorHAnsi"/>
          <w:sz w:val="22"/>
        </w:rPr>
        <w:t xml:space="preserve">olicy </w:t>
      </w:r>
      <w:r w:rsidR="003F0B9F" w:rsidRPr="004F50D4">
        <w:rPr>
          <w:rFonts w:asciiTheme="minorHAnsi" w:hAnsiTheme="minorHAnsi" w:cstheme="minorHAnsi"/>
          <w:sz w:val="22"/>
        </w:rPr>
        <w:t>(“</w:t>
      </w:r>
      <w:r w:rsidR="003F0B9F" w:rsidRPr="004F50D4">
        <w:rPr>
          <w:rFonts w:asciiTheme="minorHAnsi" w:hAnsiTheme="minorHAnsi" w:cstheme="minorHAnsi"/>
          <w:b/>
          <w:sz w:val="22"/>
        </w:rPr>
        <w:t>Policy</w:t>
      </w:r>
      <w:r w:rsidR="003F0B9F" w:rsidRPr="004F50D4">
        <w:rPr>
          <w:rFonts w:asciiTheme="minorHAnsi" w:hAnsiTheme="minorHAnsi" w:cstheme="minorHAnsi"/>
          <w:sz w:val="22"/>
        </w:rPr>
        <w:t xml:space="preserve">”) </w:t>
      </w:r>
      <w:r w:rsidRPr="004F50D4">
        <w:rPr>
          <w:rFonts w:asciiTheme="minorHAnsi" w:hAnsiTheme="minorHAnsi" w:cstheme="minorHAnsi"/>
          <w:sz w:val="22"/>
        </w:rPr>
        <w:t>document</w:t>
      </w:r>
      <w:r w:rsidR="00186771" w:rsidRPr="004F50D4">
        <w:rPr>
          <w:rFonts w:asciiTheme="minorHAnsi" w:hAnsiTheme="minorHAnsi" w:cstheme="minorHAnsi"/>
          <w:sz w:val="22"/>
        </w:rPr>
        <w:t>s</w:t>
      </w:r>
      <w:r w:rsidR="00530644" w:rsidRPr="004F50D4">
        <w:rPr>
          <w:rFonts w:asciiTheme="minorHAnsi" w:hAnsiTheme="minorHAnsi" w:cstheme="minorHAnsi"/>
          <w:sz w:val="22"/>
        </w:rPr>
        <w:t xml:space="preserve"> the</w:t>
      </w:r>
      <w:r w:rsidR="005E79E2" w:rsidRPr="004F50D4">
        <w:rPr>
          <w:rFonts w:asciiTheme="minorHAnsi" w:hAnsiTheme="minorHAnsi" w:cstheme="minorHAnsi"/>
          <w:sz w:val="22"/>
        </w:rPr>
        <w:t xml:space="preserve"> provisions for </w:t>
      </w:r>
      <w:r w:rsidR="00CD5765" w:rsidRPr="004F50D4">
        <w:rPr>
          <w:rFonts w:asciiTheme="minorHAnsi" w:hAnsiTheme="minorHAnsi" w:cstheme="minorHAnsi"/>
          <w:sz w:val="22"/>
        </w:rPr>
        <w:t xml:space="preserve"> </w:t>
      </w:r>
      <w:r w:rsidRPr="004F50D4">
        <w:rPr>
          <w:rFonts w:asciiTheme="minorHAnsi" w:hAnsiTheme="minorHAnsi" w:cstheme="minorHAnsi"/>
          <w:sz w:val="22"/>
        </w:rPr>
        <w:t>penal charge</w:t>
      </w:r>
      <w:r w:rsidR="005E79E2" w:rsidRPr="004F50D4">
        <w:rPr>
          <w:rFonts w:asciiTheme="minorHAnsi" w:hAnsiTheme="minorHAnsi" w:cstheme="minorHAnsi"/>
          <w:sz w:val="22"/>
        </w:rPr>
        <w:t>s</w:t>
      </w:r>
      <w:r w:rsidRPr="004F50D4">
        <w:rPr>
          <w:rFonts w:asciiTheme="minorHAnsi" w:hAnsiTheme="minorHAnsi" w:cstheme="minorHAnsi"/>
          <w:sz w:val="22"/>
        </w:rPr>
        <w:t xml:space="preserve"> </w:t>
      </w:r>
      <w:r w:rsidR="00CD5765" w:rsidRPr="004F50D4">
        <w:rPr>
          <w:rFonts w:asciiTheme="minorHAnsi" w:hAnsiTheme="minorHAnsi" w:cstheme="minorHAnsi"/>
          <w:sz w:val="22"/>
        </w:rPr>
        <w:t xml:space="preserve">with regard to </w:t>
      </w:r>
      <w:r w:rsidRPr="004F50D4">
        <w:rPr>
          <w:rFonts w:asciiTheme="minorHAnsi" w:hAnsiTheme="minorHAnsi" w:cstheme="minorHAnsi"/>
          <w:sz w:val="22"/>
        </w:rPr>
        <w:t xml:space="preserve">credit facilities offered by </w:t>
      </w:r>
      <w:r w:rsidR="00530644" w:rsidRPr="004F50D4">
        <w:rPr>
          <w:rFonts w:asciiTheme="minorHAnsi" w:hAnsiTheme="minorHAnsi" w:cstheme="minorHAnsi"/>
          <w:sz w:val="22"/>
        </w:rPr>
        <w:t>Barclays</w:t>
      </w:r>
      <w:r w:rsidR="004C2F0B">
        <w:rPr>
          <w:rFonts w:asciiTheme="minorHAnsi" w:hAnsiTheme="minorHAnsi" w:cstheme="minorHAnsi"/>
          <w:sz w:val="22"/>
        </w:rPr>
        <w:t xml:space="preserve"> Investments &amp; Loans (India) Private Limited </w:t>
      </w:r>
      <w:r w:rsidR="00530644" w:rsidRPr="004F50D4">
        <w:rPr>
          <w:rFonts w:asciiTheme="minorHAnsi" w:hAnsiTheme="minorHAnsi" w:cstheme="minorHAnsi"/>
          <w:sz w:val="22"/>
        </w:rPr>
        <w:t>( “</w:t>
      </w:r>
      <w:r w:rsidR="00530644" w:rsidRPr="004F50D4">
        <w:rPr>
          <w:rFonts w:asciiTheme="minorHAnsi" w:hAnsiTheme="minorHAnsi" w:cstheme="minorHAnsi"/>
          <w:b/>
          <w:sz w:val="22"/>
        </w:rPr>
        <w:t>B</w:t>
      </w:r>
      <w:r w:rsidR="004C2F0B">
        <w:rPr>
          <w:rFonts w:asciiTheme="minorHAnsi" w:hAnsiTheme="minorHAnsi" w:cstheme="minorHAnsi"/>
          <w:b/>
          <w:sz w:val="22"/>
        </w:rPr>
        <w:t>ILIL</w:t>
      </w:r>
      <w:r w:rsidR="00530644" w:rsidRPr="004F50D4">
        <w:rPr>
          <w:rFonts w:asciiTheme="minorHAnsi" w:hAnsiTheme="minorHAnsi" w:cstheme="minorHAnsi"/>
          <w:sz w:val="22"/>
        </w:rPr>
        <w:t>”)</w:t>
      </w:r>
      <w:r w:rsidR="003F0B9F" w:rsidRPr="004F50D4">
        <w:rPr>
          <w:rFonts w:asciiTheme="minorHAnsi" w:hAnsiTheme="minorHAnsi" w:cstheme="minorHAnsi"/>
          <w:sz w:val="22"/>
        </w:rPr>
        <w:t xml:space="preserve">, </w:t>
      </w:r>
      <w:r w:rsidR="00AE576A" w:rsidRPr="004F50D4">
        <w:rPr>
          <w:rFonts w:asciiTheme="minorHAnsi" w:hAnsiTheme="minorHAnsi" w:cstheme="minorHAnsi"/>
          <w:sz w:val="22"/>
        </w:rPr>
        <w:t xml:space="preserve"> on the basis of </w:t>
      </w:r>
      <w:r w:rsidRPr="004F50D4">
        <w:rPr>
          <w:rFonts w:asciiTheme="minorHAnsi" w:hAnsiTheme="minorHAnsi" w:cstheme="minorHAnsi"/>
          <w:sz w:val="22"/>
        </w:rPr>
        <w:t>Reserve Bank of India</w:t>
      </w:r>
      <w:r w:rsidR="000A73BA" w:rsidRPr="004F50D4">
        <w:rPr>
          <w:rFonts w:asciiTheme="minorHAnsi" w:hAnsiTheme="minorHAnsi" w:cstheme="minorHAnsi"/>
          <w:sz w:val="22"/>
        </w:rPr>
        <w:t xml:space="preserve"> regulation</w:t>
      </w:r>
      <w:r w:rsidR="005E79E2" w:rsidRPr="004F50D4">
        <w:rPr>
          <w:rFonts w:asciiTheme="minorHAnsi" w:hAnsiTheme="minorHAnsi" w:cstheme="minorHAnsi"/>
          <w:sz w:val="22"/>
        </w:rPr>
        <w:t>, viz.,</w:t>
      </w:r>
      <w:r w:rsidR="000A73BA" w:rsidRPr="004F50D4">
        <w:rPr>
          <w:rFonts w:asciiTheme="minorHAnsi" w:hAnsiTheme="minorHAnsi" w:cstheme="minorHAnsi"/>
          <w:sz w:val="22"/>
        </w:rPr>
        <w:t xml:space="preserve"> Fair Lending Practice - Penal Charges in Loan Accounts, dated August 18, 2023 (RBI/2023-24/53 DoR.MCS.REC.28/01.01.001/2023-24)</w:t>
      </w:r>
      <w:r w:rsidR="003F0B9F" w:rsidRPr="004F50D4">
        <w:rPr>
          <w:rFonts w:asciiTheme="minorHAnsi" w:hAnsiTheme="minorHAnsi" w:cstheme="minorHAnsi"/>
          <w:sz w:val="22"/>
        </w:rPr>
        <w:t xml:space="preserve"> (“</w:t>
      </w:r>
      <w:r w:rsidR="003F0B9F" w:rsidRPr="004F50D4">
        <w:rPr>
          <w:rFonts w:asciiTheme="minorHAnsi" w:hAnsiTheme="minorHAnsi" w:cstheme="minorHAnsi"/>
          <w:b/>
          <w:sz w:val="22"/>
        </w:rPr>
        <w:t>Regulation</w:t>
      </w:r>
      <w:r w:rsidR="003F0B9F" w:rsidRPr="004F50D4">
        <w:rPr>
          <w:rFonts w:asciiTheme="minorHAnsi" w:hAnsiTheme="minorHAnsi" w:cstheme="minorHAnsi"/>
          <w:sz w:val="22"/>
        </w:rPr>
        <w:t>”</w:t>
      </w:r>
      <w:r w:rsidR="00F77C81" w:rsidRPr="004F50D4">
        <w:rPr>
          <w:rStyle w:val="FootnoteReference"/>
          <w:rFonts w:asciiTheme="minorHAnsi" w:hAnsiTheme="minorHAnsi" w:cstheme="minorHAnsi"/>
          <w:sz w:val="22"/>
        </w:rPr>
        <w:footnoteReference w:id="1"/>
      </w:r>
      <w:r w:rsidR="003F0B9F" w:rsidRPr="004F50D4">
        <w:rPr>
          <w:rFonts w:asciiTheme="minorHAnsi" w:hAnsiTheme="minorHAnsi" w:cstheme="minorHAnsi"/>
          <w:sz w:val="22"/>
        </w:rPr>
        <w:t>)</w:t>
      </w:r>
      <w:r w:rsidR="00FF5F60" w:rsidRPr="004F50D4">
        <w:rPr>
          <w:rFonts w:asciiTheme="minorHAnsi" w:hAnsiTheme="minorHAnsi" w:cstheme="minorHAnsi"/>
          <w:sz w:val="22"/>
        </w:rPr>
        <w:t>, T</w:t>
      </w:r>
      <w:bookmarkEnd w:id="5"/>
      <w:r w:rsidR="00FF5F60" w:rsidRPr="004F50D4">
        <w:rPr>
          <w:rFonts w:asciiTheme="minorHAnsi" w:hAnsiTheme="minorHAnsi" w:cstheme="minorHAnsi"/>
          <w:sz w:val="22"/>
        </w:rPr>
        <w:t xml:space="preserve">his Policy </w:t>
      </w:r>
      <w:r w:rsidR="003F0B9F" w:rsidRPr="004F50D4">
        <w:rPr>
          <w:rFonts w:asciiTheme="minorHAnsi" w:hAnsiTheme="minorHAnsi" w:cstheme="minorHAnsi"/>
          <w:sz w:val="22"/>
        </w:rPr>
        <w:t xml:space="preserve">shall be read with the Current Policy and will </w:t>
      </w:r>
      <w:r w:rsidR="00FF5F60" w:rsidRPr="004F50D4">
        <w:rPr>
          <w:rFonts w:asciiTheme="minorHAnsi" w:hAnsiTheme="minorHAnsi" w:cstheme="minorHAnsi"/>
          <w:sz w:val="22"/>
        </w:rPr>
        <w:t>pr</w:t>
      </w:r>
      <w:r w:rsidR="003F0B9F" w:rsidRPr="004F50D4">
        <w:rPr>
          <w:rFonts w:asciiTheme="minorHAnsi" w:hAnsiTheme="minorHAnsi" w:cstheme="minorHAnsi"/>
          <w:sz w:val="22"/>
        </w:rPr>
        <w:t>evail</w:t>
      </w:r>
      <w:r w:rsidR="00FF5F60" w:rsidRPr="004F50D4">
        <w:rPr>
          <w:rFonts w:asciiTheme="minorHAnsi" w:hAnsiTheme="minorHAnsi" w:cstheme="minorHAnsi"/>
          <w:sz w:val="22"/>
        </w:rPr>
        <w:t xml:space="preserve"> </w:t>
      </w:r>
      <w:r w:rsidR="003F0B9F" w:rsidRPr="004F50D4">
        <w:rPr>
          <w:rFonts w:asciiTheme="minorHAnsi" w:hAnsiTheme="minorHAnsi" w:cstheme="minorHAnsi"/>
          <w:sz w:val="22"/>
        </w:rPr>
        <w:t xml:space="preserve">insofar as there is inconsistency and  conflict between the two. The Regulation </w:t>
      </w:r>
      <w:r w:rsidR="00EC4609" w:rsidRPr="004F50D4">
        <w:rPr>
          <w:rFonts w:asciiTheme="minorHAnsi" w:hAnsiTheme="minorHAnsi" w:cstheme="minorHAnsi"/>
          <w:sz w:val="22"/>
        </w:rPr>
        <w:t xml:space="preserve">(including as may be amended) </w:t>
      </w:r>
      <w:r w:rsidR="003F0B9F" w:rsidRPr="004F50D4">
        <w:rPr>
          <w:rFonts w:asciiTheme="minorHAnsi" w:hAnsiTheme="minorHAnsi" w:cstheme="minorHAnsi"/>
          <w:sz w:val="22"/>
        </w:rPr>
        <w:t>will prevail over the Policy insofar as the Policy is inconsistent with the Regulation.</w:t>
      </w:r>
    </w:p>
    <w:bookmarkEnd w:id="3"/>
    <w:p w14:paraId="56824E0A" w14:textId="5E8A26EC" w:rsidR="00AC634D" w:rsidRPr="004F50D4" w:rsidRDefault="00AC634D" w:rsidP="004F50D4">
      <w:pPr>
        <w:spacing w:after="0" w:line="240" w:lineRule="auto"/>
        <w:ind w:left="0" w:firstLine="0"/>
        <w:contextualSpacing/>
        <w:rPr>
          <w:rFonts w:asciiTheme="minorHAnsi" w:hAnsiTheme="minorHAnsi" w:cstheme="minorHAnsi"/>
          <w:sz w:val="22"/>
        </w:rPr>
      </w:pPr>
    </w:p>
    <w:p w14:paraId="23DC9571" w14:textId="3C6964AE" w:rsidR="0041799D" w:rsidRPr="004F50D4" w:rsidRDefault="0041799D"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6" w:name="_Toc49708981"/>
      <w:bookmarkStart w:id="7" w:name="_Toc155014754"/>
      <w:r w:rsidRPr="004F50D4">
        <w:rPr>
          <w:rFonts w:asciiTheme="minorHAnsi" w:hAnsiTheme="minorHAnsi" w:cstheme="minorHAnsi"/>
          <w:sz w:val="22"/>
        </w:rPr>
        <w:t xml:space="preserve">Procedure Ownership </w:t>
      </w:r>
      <w:proofErr w:type="gramStart"/>
      <w:r w:rsidR="00683283" w:rsidRPr="004F50D4">
        <w:rPr>
          <w:rFonts w:asciiTheme="minorHAnsi" w:hAnsiTheme="minorHAnsi" w:cstheme="minorHAnsi"/>
          <w:sz w:val="22"/>
        </w:rPr>
        <w:t xml:space="preserve">and </w:t>
      </w:r>
      <w:r w:rsidRPr="004F50D4">
        <w:rPr>
          <w:rFonts w:asciiTheme="minorHAnsi" w:hAnsiTheme="minorHAnsi" w:cstheme="minorHAnsi"/>
          <w:sz w:val="22"/>
        </w:rPr>
        <w:t xml:space="preserve"> Update</w:t>
      </w:r>
      <w:bookmarkEnd w:id="6"/>
      <w:r w:rsidR="00683283" w:rsidRPr="004F50D4">
        <w:rPr>
          <w:rFonts w:asciiTheme="minorHAnsi" w:hAnsiTheme="minorHAnsi" w:cstheme="minorHAnsi"/>
          <w:sz w:val="22"/>
        </w:rPr>
        <w:t>s</w:t>
      </w:r>
      <w:bookmarkEnd w:id="7"/>
      <w:proofErr w:type="gramEnd"/>
    </w:p>
    <w:p w14:paraId="2F576817" w14:textId="77777777" w:rsidR="0053308B" w:rsidRPr="004F50D4" w:rsidRDefault="0053308B" w:rsidP="004F50D4">
      <w:pPr>
        <w:pStyle w:val="ListParagraph"/>
        <w:spacing w:after="0" w:line="240" w:lineRule="auto"/>
        <w:ind w:left="1440" w:firstLine="0"/>
        <w:rPr>
          <w:rFonts w:asciiTheme="minorHAnsi" w:hAnsiTheme="minorHAnsi" w:cstheme="minorHAnsi"/>
          <w:sz w:val="22"/>
        </w:rPr>
      </w:pPr>
    </w:p>
    <w:p w14:paraId="605DE731" w14:textId="4C848BCD" w:rsidR="0041799D" w:rsidRPr="004F50D4" w:rsidRDefault="0041799D" w:rsidP="004F50D4">
      <w:pPr>
        <w:pStyle w:val="ListParagraph"/>
        <w:numPr>
          <w:ilvl w:val="1"/>
          <w:numId w:val="12"/>
        </w:num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 xml:space="preserve">The </w:t>
      </w:r>
      <w:r w:rsidR="00683283" w:rsidRPr="004F50D4">
        <w:rPr>
          <w:rFonts w:asciiTheme="minorHAnsi" w:hAnsiTheme="minorHAnsi" w:cstheme="minorHAnsi"/>
          <w:sz w:val="22"/>
        </w:rPr>
        <w:t xml:space="preserve">Policy is owned by the </w:t>
      </w:r>
      <w:r w:rsidR="004214BD">
        <w:rPr>
          <w:rFonts w:asciiTheme="minorHAnsi" w:hAnsiTheme="minorHAnsi" w:cstheme="minorHAnsi"/>
          <w:sz w:val="22"/>
        </w:rPr>
        <w:t xml:space="preserve">Credit Solutions Business </w:t>
      </w:r>
      <w:r w:rsidR="0010281C">
        <w:rPr>
          <w:rFonts w:asciiTheme="minorHAnsi" w:hAnsiTheme="minorHAnsi" w:cstheme="minorHAnsi"/>
          <w:sz w:val="22"/>
        </w:rPr>
        <w:t>Head</w:t>
      </w:r>
      <w:r w:rsidR="000D5815">
        <w:rPr>
          <w:rFonts w:asciiTheme="minorHAnsi" w:hAnsiTheme="minorHAnsi" w:cstheme="minorHAnsi"/>
          <w:sz w:val="22"/>
        </w:rPr>
        <w:t xml:space="preserve"> </w:t>
      </w:r>
      <w:r w:rsidR="00683283" w:rsidRPr="004F50D4">
        <w:rPr>
          <w:rFonts w:asciiTheme="minorHAnsi" w:hAnsiTheme="minorHAnsi" w:cstheme="minorHAnsi"/>
          <w:sz w:val="22"/>
        </w:rPr>
        <w:t xml:space="preserve">in </w:t>
      </w:r>
      <w:r w:rsidR="000E43B9">
        <w:rPr>
          <w:rFonts w:asciiTheme="minorHAnsi" w:hAnsiTheme="minorHAnsi" w:cstheme="minorHAnsi"/>
          <w:sz w:val="22"/>
        </w:rPr>
        <w:t>BILIL</w:t>
      </w:r>
      <w:r w:rsidR="00530644" w:rsidRPr="004F50D4">
        <w:rPr>
          <w:rFonts w:asciiTheme="minorHAnsi" w:hAnsiTheme="minorHAnsi" w:cstheme="minorHAnsi"/>
          <w:sz w:val="22"/>
        </w:rPr>
        <w:t xml:space="preserve"> and will be </w:t>
      </w:r>
      <w:r w:rsidRPr="004F50D4">
        <w:rPr>
          <w:rFonts w:asciiTheme="minorHAnsi" w:hAnsiTheme="minorHAnsi" w:cstheme="minorHAnsi"/>
          <w:sz w:val="22"/>
        </w:rPr>
        <w:t xml:space="preserve">updated </w:t>
      </w:r>
      <w:r w:rsidR="00530644" w:rsidRPr="004F50D4">
        <w:rPr>
          <w:rFonts w:asciiTheme="minorHAnsi" w:hAnsiTheme="minorHAnsi" w:cstheme="minorHAnsi"/>
          <w:sz w:val="22"/>
        </w:rPr>
        <w:t xml:space="preserve">at the earliest, </w:t>
      </w:r>
      <w:r w:rsidRPr="004F50D4">
        <w:rPr>
          <w:rFonts w:asciiTheme="minorHAnsi" w:hAnsiTheme="minorHAnsi" w:cstheme="minorHAnsi"/>
          <w:sz w:val="22"/>
        </w:rPr>
        <w:t>as and when required</w:t>
      </w:r>
      <w:r w:rsidR="00E12239" w:rsidRPr="004F50D4">
        <w:rPr>
          <w:rFonts w:asciiTheme="minorHAnsi" w:hAnsiTheme="minorHAnsi" w:cstheme="minorHAnsi"/>
          <w:sz w:val="22"/>
        </w:rPr>
        <w:t>.</w:t>
      </w:r>
      <w:r w:rsidRPr="004F50D4">
        <w:rPr>
          <w:rFonts w:asciiTheme="minorHAnsi" w:hAnsiTheme="minorHAnsi" w:cstheme="minorHAnsi"/>
          <w:sz w:val="22"/>
        </w:rPr>
        <w:t xml:space="preserve"> </w:t>
      </w:r>
    </w:p>
    <w:p w14:paraId="4A402B8C" w14:textId="77777777" w:rsidR="00397E48" w:rsidRPr="004F50D4" w:rsidRDefault="00397E48" w:rsidP="004F50D4">
      <w:pPr>
        <w:spacing w:after="0" w:line="240" w:lineRule="auto"/>
        <w:contextualSpacing/>
        <w:rPr>
          <w:rFonts w:asciiTheme="minorHAnsi" w:hAnsiTheme="minorHAnsi" w:cstheme="minorHAnsi"/>
          <w:sz w:val="22"/>
        </w:rPr>
      </w:pPr>
    </w:p>
    <w:p w14:paraId="0D7B2629" w14:textId="36A0533D" w:rsidR="0041799D" w:rsidRPr="004F50D4" w:rsidRDefault="00530644"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8" w:name="_Toc49708982"/>
      <w:bookmarkStart w:id="9" w:name="_Toc155014755"/>
      <w:r w:rsidRPr="004F50D4">
        <w:rPr>
          <w:rFonts w:asciiTheme="minorHAnsi" w:hAnsiTheme="minorHAnsi" w:cstheme="minorHAnsi"/>
          <w:sz w:val="22"/>
        </w:rPr>
        <w:t xml:space="preserve">Policy Approval and </w:t>
      </w:r>
      <w:r w:rsidR="0041799D" w:rsidRPr="004F50D4">
        <w:rPr>
          <w:rFonts w:asciiTheme="minorHAnsi" w:hAnsiTheme="minorHAnsi" w:cstheme="minorHAnsi"/>
          <w:sz w:val="22"/>
        </w:rPr>
        <w:t>Governance</w:t>
      </w:r>
      <w:bookmarkEnd w:id="8"/>
      <w:bookmarkEnd w:id="9"/>
    </w:p>
    <w:p w14:paraId="5EEE5321" w14:textId="77777777" w:rsidR="0053308B" w:rsidRPr="004F50D4" w:rsidRDefault="0053308B" w:rsidP="004F50D4">
      <w:pPr>
        <w:pStyle w:val="ListParagraph"/>
        <w:spacing w:after="0" w:line="240" w:lineRule="auto"/>
        <w:ind w:left="792" w:firstLine="0"/>
        <w:rPr>
          <w:rFonts w:asciiTheme="minorHAnsi" w:hAnsiTheme="minorHAnsi" w:cstheme="minorHAnsi"/>
          <w:sz w:val="22"/>
        </w:rPr>
      </w:pPr>
    </w:p>
    <w:p w14:paraId="4873A0D3" w14:textId="1AAF5F66" w:rsidR="0041799D" w:rsidRPr="004F50D4" w:rsidRDefault="0041799D" w:rsidP="004F50D4">
      <w:pPr>
        <w:pStyle w:val="ListParagraph"/>
        <w:numPr>
          <w:ilvl w:val="1"/>
          <w:numId w:val="12"/>
        </w:num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 xml:space="preserve">The </w:t>
      </w:r>
      <w:r w:rsidR="00530644" w:rsidRPr="004F50D4">
        <w:rPr>
          <w:rFonts w:asciiTheme="minorHAnsi" w:hAnsiTheme="minorHAnsi" w:cstheme="minorHAnsi"/>
          <w:sz w:val="22"/>
        </w:rPr>
        <w:t xml:space="preserve">Policy will be </w:t>
      </w:r>
      <w:r w:rsidR="00C44FB5">
        <w:rPr>
          <w:rFonts w:asciiTheme="minorHAnsi" w:hAnsiTheme="minorHAnsi" w:cstheme="minorHAnsi"/>
          <w:sz w:val="22"/>
        </w:rPr>
        <w:t xml:space="preserve">circulated </w:t>
      </w:r>
      <w:r w:rsidR="00530644" w:rsidRPr="004F50D4">
        <w:rPr>
          <w:rFonts w:asciiTheme="minorHAnsi" w:hAnsiTheme="minorHAnsi" w:cstheme="minorHAnsi"/>
          <w:sz w:val="22"/>
        </w:rPr>
        <w:t xml:space="preserve">for adoption </w:t>
      </w:r>
      <w:r w:rsidR="00F74B74">
        <w:rPr>
          <w:rFonts w:asciiTheme="minorHAnsi" w:hAnsiTheme="minorHAnsi" w:cstheme="minorHAnsi"/>
          <w:sz w:val="22"/>
        </w:rPr>
        <w:t xml:space="preserve">to </w:t>
      </w:r>
      <w:r w:rsidR="000E43B9">
        <w:rPr>
          <w:rFonts w:asciiTheme="minorHAnsi" w:hAnsiTheme="minorHAnsi" w:cstheme="minorHAnsi"/>
          <w:sz w:val="22"/>
        </w:rPr>
        <w:t xml:space="preserve">BILIL’s Board of Directors </w:t>
      </w:r>
      <w:r w:rsidR="00FB74A6" w:rsidRPr="004F50D4">
        <w:rPr>
          <w:rFonts w:asciiTheme="minorHAnsi" w:hAnsiTheme="minorHAnsi" w:cstheme="minorHAnsi"/>
          <w:sz w:val="22"/>
        </w:rPr>
        <w:t xml:space="preserve">in </w:t>
      </w:r>
      <w:r w:rsidR="009F1D96">
        <w:rPr>
          <w:rFonts w:asciiTheme="minorHAnsi" w:hAnsiTheme="minorHAnsi" w:cstheme="minorHAnsi"/>
          <w:sz w:val="22"/>
        </w:rPr>
        <w:t>February</w:t>
      </w:r>
      <w:r w:rsidR="009F1D96" w:rsidRPr="004F50D4">
        <w:rPr>
          <w:rFonts w:asciiTheme="minorHAnsi" w:hAnsiTheme="minorHAnsi" w:cstheme="minorHAnsi"/>
          <w:sz w:val="22"/>
        </w:rPr>
        <w:t xml:space="preserve"> </w:t>
      </w:r>
      <w:r w:rsidR="00FB74A6" w:rsidRPr="004F50D4">
        <w:rPr>
          <w:rFonts w:asciiTheme="minorHAnsi" w:hAnsiTheme="minorHAnsi" w:cstheme="minorHAnsi"/>
          <w:sz w:val="22"/>
        </w:rPr>
        <w:t>2023</w:t>
      </w:r>
      <w:r w:rsidR="00530644" w:rsidRPr="004F50D4">
        <w:rPr>
          <w:rFonts w:asciiTheme="minorHAnsi" w:hAnsiTheme="minorHAnsi" w:cstheme="minorHAnsi"/>
          <w:sz w:val="22"/>
        </w:rPr>
        <w:t>.</w:t>
      </w:r>
    </w:p>
    <w:p w14:paraId="164B68FA" w14:textId="77777777" w:rsidR="001D7E2B" w:rsidRPr="004F50D4" w:rsidRDefault="001D7E2B" w:rsidP="004F50D4">
      <w:pPr>
        <w:spacing w:after="0" w:line="240" w:lineRule="auto"/>
        <w:ind w:left="720" w:firstLine="0"/>
        <w:rPr>
          <w:rFonts w:asciiTheme="minorHAnsi" w:hAnsiTheme="minorHAnsi" w:cstheme="minorHAnsi"/>
          <w:sz w:val="22"/>
        </w:rPr>
      </w:pPr>
    </w:p>
    <w:p w14:paraId="6606F0F2" w14:textId="54EB87EC" w:rsidR="001D7E2B" w:rsidRPr="004F50D4" w:rsidRDefault="001D7E2B" w:rsidP="004F50D4">
      <w:pPr>
        <w:pStyle w:val="ListParagraph"/>
        <w:numPr>
          <w:ilvl w:val="1"/>
          <w:numId w:val="12"/>
        </w:num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 xml:space="preserve">The Policy will be in effect from </w:t>
      </w:r>
      <w:r w:rsidR="009F1D96">
        <w:rPr>
          <w:rFonts w:asciiTheme="minorHAnsi" w:hAnsiTheme="minorHAnsi" w:cstheme="minorHAnsi"/>
          <w:sz w:val="22"/>
        </w:rPr>
        <w:t>April</w:t>
      </w:r>
      <w:r w:rsidR="009F1D96" w:rsidRPr="004F50D4">
        <w:rPr>
          <w:rFonts w:asciiTheme="minorHAnsi" w:hAnsiTheme="minorHAnsi" w:cstheme="minorHAnsi"/>
          <w:sz w:val="22"/>
        </w:rPr>
        <w:t xml:space="preserve"> </w:t>
      </w:r>
      <w:r w:rsidRPr="004F50D4">
        <w:rPr>
          <w:rFonts w:asciiTheme="minorHAnsi" w:hAnsiTheme="minorHAnsi" w:cstheme="minorHAnsi"/>
          <w:sz w:val="22"/>
        </w:rPr>
        <w:t>01, 2024.</w:t>
      </w:r>
    </w:p>
    <w:p w14:paraId="67BB37D0" w14:textId="77777777" w:rsidR="00397E48" w:rsidRPr="004F50D4" w:rsidRDefault="00397E48" w:rsidP="004F50D4">
      <w:pPr>
        <w:spacing w:after="0" w:line="240" w:lineRule="auto"/>
        <w:contextualSpacing/>
        <w:rPr>
          <w:rFonts w:asciiTheme="minorHAnsi" w:hAnsiTheme="minorHAnsi" w:cstheme="minorHAnsi"/>
          <w:sz w:val="22"/>
        </w:rPr>
      </w:pPr>
    </w:p>
    <w:p w14:paraId="16EDA5C2" w14:textId="62C6CF9A" w:rsidR="0041799D" w:rsidRPr="004F50D4" w:rsidRDefault="00FB74A6"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10" w:name="_Toc49708983"/>
      <w:bookmarkStart w:id="11" w:name="_Toc155014756"/>
      <w:r w:rsidRPr="004F50D4">
        <w:rPr>
          <w:rFonts w:asciiTheme="minorHAnsi" w:hAnsiTheme="minorHAnsi" w:cstheme="minorHAnsi"/>
          <w:sz w:val="22"/>
        </w:rPr>
        <w:t xml:space="preserve">Applicability and </w:t>
      </w:r>
      <w:r w:rsidR="0041799D" w:rsidRPr="004F50D4">
        <w:rPr>
          <w:rFonts w:asciiTheme="minorHAnsi" w:hAnsiTheme="minorHAnsi" w:cstheme="minorHAnsi"/>
          <w:sz w:val="22"/>
        </w:rPr>
        <w:t>Implementation</w:t>
      </w:r>
      <w:bookmarkEnd w:id="10"/>
      <w:bookmarkEnd w:id="11"/>
    </w:p>
    <w:p w14:paraId="45962E52" w14:textId="77777777" w:rsidR="0053308B" w:rsidRPr="004F50D4" w:rsidRDefault="0053308B" w:rsidP="004F50D4">
      <w:pPr>
        <w:pStyle w:val="ListParagraph"/>
        <w:spacing w:after="0" w:line="240" w:lineRule="auto"/>
        <w:ind w:left="1440" w:firstLine="0"/>
        <w:rPr>
          <w:rFonts w:asciiTheme="minorHAnsi" w:hAnsiTheme="minorHAnsi" w:cstheme="minorHAnsi"/>
          <w:sz w:val="22"/>
        </w:rPr>
      </w:pPr>
    </w:p>
    <w:p w14:paraId="35FCB48E" w14:textId="6ACA4797" w:rsidR="0041799D" w:rsidRDefault="0041799D" w:rsidP="004F50D4">
      <w:pPr>
        <w:pStyle w:val="ListParagraph"/>
        <w:numPr>
          <w:ilvl w:val="1"/>
          <w:numId w:val="12"/>
        </w:num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 xml:space="preserve">The </w:t>
      </w:r>
      <w:r w:rsidR="007954BC" w:rsidRPr="004F50D4">
        <w:rPr>
          <w:rFonts w:asciiTheme="minorHAnsi" w:hAnsiTheme="minorHAnsi" w:cstheme="minorHAnsi"/>
          <w:sz w:val="22"/>
        </w:rPr>
        <w:t xml:space="preserve">Policy applies </w:t>
      </w:r>
      <w:r w:rsidRPr="004F50D4">
        <w:rPr>
          <w:rFonts w:asciiTheme="minorHAnsi" w:hAnsiTheme="minorHAnsi" w:cstheme="minorHAnsi"/>
          <w:sz w:val="22"/>
        </w:rPr>
        <w:t xml:space="preserve">to </w:t>
      </w:r>
      <w:r w:rsidR="007954BC" w:rsidRPr="004F50D4">
        <w:rPr>
          <w:rFonts w:asciiTheme="minorHAnsi" w:hAnsiTheme="minorHAnsi" w:cstheme="minorHAnsi"/>
          <w:sz w:val="22"/>
        </w:rPr>
        <w:t>p</w:t>
      </w:r>
      <w:r w:rsidRPr="004F50D4">
        <w:rPr>
          <w:rFonts w:asciiTheme="minorHAnsi" w:hAnsiTheme="minorHAnsi" w:cstheme="minorHAnsi"/>
          <w:sz w:val="22"/>
        </w:rPr>
        <w:t>enal charge</w:t>
      </w:r>
      <w:r w:rsidR="007954BC" w:rsidRPr="004F50D4">
        <w:rPr>
          <w:rFonts w:asciiTheme="minorHAnsi" w:hAnsiTheme="minorHAnsi" w:cstheme="minorHAnsi"/>
          <w:sz w:val="22"/>
        </w:rPr>
        <w:t xml:space="preserve">(s) </w:t>
      </w:r>
      <w:r w:rsidR="000E43B9">
        <w:rPr>
          <w:rFonts w:asciiTheme="minorHAnsi" w:hAnsiTheme="minorHAnsi" w:cstheme="minorHAnsi"/>
          <w:sz w:val="22"/>
        </w:rPr>
        <w:t xml:space="preserve">BILIL </w:t>
      </w:r>
      <w:r w:rsidR="00405A82">
        <w:rPr>
          <w:rFonts w:asciiTheme="minorHAnsi" w:hAnsiTheme="minorHAnsi" w:cstheme="minorHAnsi"/>
          <w:sz w:val="22"/>
        </w:rPr>
        <w:t xml:space="preserve">as </w:t>
      </w:r>
      <w:r w:rsidR="000D5815">
        <w:rPr>
          <w:rFonts w:asciiTheme="minorHAnsi" w:hAnsiTheme="minorHAnsi" w:cstheme="minorHAnsi"/>
          <w:sz w:val="22"/>
        </w:rPr>
        <w:t xml:space="preserve">also </w:t>
      </w:r>
      <w:r w:rsidR="00405A82">
        <w:rPr>
          <w:rFonts w:asciiTheme="minorHAnsi" w:hAnsiTheme="minorHAnsi" w:cstheme="minorHAnsi"/>
          <w:sz w:val="22"/>
        </w:rPr>
        <w:t xml:space="preserve">referred as default charge(s), </w:t>
      </w:r>
      <w:r w:rsidR="007954BC" w:rsidRPr="004F50D4">
        <w:rPr>
          <w:rFonts w:asciiTheme="minorHAnsi" w:hAnsiTheme="minorHAnsi" w:cstheme="minorHAnsi"/>
          <w:sz w:val="22"/>
        </w:rPr>
        <w:t xml:space="preserve">may levy </w:t>
      </w:r>
      <w:proofErr w:type="gramStart"/>
      <w:r w:rsidR="007954BC" w:rsidRPr="004F50D4">
        <w:rPr>
          <w:rFonts w:asciiTheme="minorHAnsi" w:hAnsiTheme="minorHAnsi" w:cstheme="minorHAnsi"/>
          <w:sz w:val="22"/>
        </w:rPr>
        <w:t>with regard to</w:t>
      </w:r>
      <w:proofErr w:type="gramEnd"/>
      <w:r w:rsidR="007954BC" w:rsidRPr="004F50D4">
        <w:rPr>
          <w:rFonts w:asciiTheme="minorHAnsi" w:hAnsiTheme="minorHAnsi" w:cstheme="minorHAnsi"/>
          <w:sz w:val="22"/>
        </w:rPr>
        <w:t xml:space="preserve"> </w:t>
      </w:r>
      <w:r w:rsidR="00E12239" w:rsidRPr="004F50D4">
        <w:rPr>
          <w:rFonts w:asciiTheme="minorHAnsi" w:hAnsiTheme="minorHAnsi" w:cstheme="minorHAnsi"/>
          <w:sz w:val="22"/>
        </w:rPr>
        <w:t xml:space="preserve">credit facilities </w:t>
      </w:r>
      <w:r w:rsidR="007954BC" w:rsidRPr="004F50D4">
        <w:rPr>
          <w:rFonts w:asciiTheme="minorHAnsi" w:hAnsiTheme="minorHAnsi" w:cstheme="minorHAnsi"/>
          <w:sz w:val="22"/>
        </w:rPr>
        <w:t xml:space="preserve">availed of by </w:t>
      </w:r>
      <w:r w:rsidR="008C0A11" w:rsidRPr="004F50D4">
        <w:rPr>
          <w:rFonts w:asciiTheme="minorHAnsi" w:hAnsiTheme="minorHAnsi" w:cstheme="minorHAnsi"/>
          <w:sz w:val="22"/>
        </w:rPr>
        <w:t>customers</w:t>
      </w:r>
      <w:r w:rsidR="00E12239" w:rsidRPr="004F50D4">
        <w:rPr>
          <w:rFonts w:asciiTheme="minorHAnsi" w:hAnsiTheme="minorHAnsi" w:cstheme="minorHAnsi"/>
          <w:sz w:val="22"/>
        </w:rPr>
        <w:t xml:space="preserve">. </w:t>
      </w:r>
    </w:p>
    <w:p w14:paraId="607AC34D" w14:textId="77777777" w:rsidR="009F1D96" w:rsidRPr="009F1D96" w:rsidRDefault="009F1D96" w:rsidP="009F1D96">
      <w:pPr>
        <w:spacing w:after="0" w:line="240" w:lineRule="auto"/>
        <w:ind w:left="720" w:firstLine="0"/>
        <w:rPr>
          <w:rFonts w:asciiTheme="minorHAnsi" w:hAnsiTheme="minorHAnsi" w:cstheme="minorHAnsi"/>
          <w:sz w:val="22"/>
        </w:rPr>
      </w:pPr>
    </w:p>
    <w:p w14:paraId="1F25E8CE" w14:textId="77777777" w:rsidR="009F1D96" w:rsidRDefault="009F1D96" w:rsidP="009F1D96">
      <w:pPr>
        <w:tabs>
          <w:tab w:val="left" w:pos="1800"/>
        </w:tabs>
        <w:spacing w:after="0" w:line="240" w:lineRule="auto"/>
        <w:ind w:left="1170" w:hanging="180"/>
        <w:rPr>
          <w:rFonts w:asciiTheme="minorHAnsi" w:hAnsiTheme="minorHAnsi" w:cstheme="minorHAnsi"/>
          <w:sz w:val="22"/>
        </w:rPr>
      </w:pPr>
      <w:r w:rsidRPr="009F1D96">
        <w:rPr>
          <w:rFonts w:asciiTheme="minorHAnsi" w:hAnsiTheme="minorHAnsi" w:cstheme="minorHAnsi"/>
          <w:sz w:val="22"/>
        </w:rPr>
        <w:t>Note:</w:t>
      </w:r>
      <w:r w:rsidRPr="009F1D96">
        <w:rPr>
          <w:rFonts w:asciiTheme="minorHAnsi" w:hAnsiTheme="minorHAnsi" w:cstheme="minorHAnsi"/>
          <w:sz w:val="22"/>
        </w:rPr>
        <w:tab/>
      </w:r>
    </w:p>
    <w:p w14:paraId="6C1B82E2" w14:textId="3EC82450" w:rsidR="009F1D96" w:rsidRPr="009F1D96" w:rsidRDefault="009F1D96" w:rsidP="009F1D96">
      <w:pPr>
        <w:tabs>
          <w:tab w:val="left" w:pos="1620"/>
        </w:tabs>
        <w:spacing w:after="0" w:line="240" w:lineRule="auto"/>
        <w:ind w:left="1170" w:hanging="180"/>
        <w:rPr>
          <w:rFonts w:asciiTheme="minorHAnsi" w:hAnsiTheme="minorHAnsi" w:cstheme="minorHAnsi"/>
          <w:sz w:val="22"/>
        </w:rPr>
      </w:pPr>
      <w:r w:rsidRPr="009F1D96">
        <w:rPr>
          <w:rFonts w:asciiTheme="minorHAnsi" w:hAnsiTheme="minorHAnsi" w:cstheme="minorHAnsi"/>
          <w:sz w:val="22"/>
        </w:rPr>
        <w:t>(a)</w:t>
      </w:r>
      <w:r w:rsidRPr="009F1D96">
        <w:rPr>
          <w:rFonts w:asciiTheme="minorHAnsi" w:hAnsiTheme="minorHAnsi" w:cstheme="minorHAnsi"/>
          <w:sz w:val="22"/>
        </w:rPr>
        <w:tab/>
        <w:t xml:space="preserve">Instructions on penal charges under the Regulation are applicable in case of </w:t>
      </w:r>
      <w:proofErr w:type="spellStart"/>
      <w:r w:rsidRPr="009F1D96">
        <w:rPr>
          <w:rFonts w:asciiTheme="minorHAnsi" w:hAnsiTheme="minorHAnsi" w:cstheme="minorHAnsi"/>
          <w:sz w:val="22"/>
        </w:rPr>
        <w:t>securitisation</w:t>
      </w:r>
      <w:proofErr w:type="spellEnd"/>
      <w:r w:rsidRPr="009F1D96">
        <w:rPr>
          <w:rFonts w:asciiTheme="minorHAnsi" w:hAnsiTheme="minorHAnsi" w:cstheme="minorHAnsi"/>
          <w:sz w:val="22"/>
        </w:rPr>
        <w:t xml:space="preserve"> and co-lending portfolios.</w:t>
      </w:r>
    </w:p>
    <w:p w14:paraId="7679196D" w14:textId="77777777" w:rsidR="009F1D96" w:rsidRPr="009F1D96" w:rsidRDefault="009F1D96" w:rsidP="009F1D96">
      <w:pPr>
        <w:tabs>
          <w:tab w:val="left" w:pos="2160"/>
        </w:tabs>
        <w:spacing w:after="0" w:line="240" w:lineRule="auto"/>
        <w:ind w:left="1440" w:hanging="270"/>
        <w:rPr>
          <w:rFonts w:asciiTheme="minorHAnsi" w:hAnsiTheme="minorHAnsi" w:cstheme="minorHAnsi"/>
          <w:sz w:val="22"/>
        </w:rPr>
      </w:pPr>
    </w:p>
    <w:p w14:paraId="1ED15838" w14:textId="77777777" w:rsidR="009F1D96" w:rsidRPr="009F1D96" w:rsidRDefault="009F1D96" w:rsidP="009F1D96">
      <w:pPr>
        <w:tabs>
          <w:tab w:val="left" w:pos="1620"/>
        </w:tabs>
        <w:spacing w:after="0" w:line="240" w:lineRule="auto"/>
        <w:ind w:left="1170" w:hanging="180"/>
        <w:rPr>
          <w:rFonts w:asciiTheme="minorHAnsi" w:eastAsia="Times New Roman" w:hAnsiTheme="minorHAnsi" w:cstheme="minorHAnsi"/>
          <w:sz w:val="22"/>
        </w:rPr>
      </w:pPr>
      <w:r w:rsidRPr="009F1D96">
        <w:rPr>
          <w:rFonts w:asciiTheme="minorHAnsi" w:eastAsia="Times New Roman" w:hAnsiTheme="minorHAnsi" w:cstheme="minorHAnsi"/>
          <w:sz w:val="22"/>
        </w:rPr>
        <w:t>(b)</w:t>
      </w:r>
      <w:r w:rsidRPr="009F1D96">
        <w:rPr>
          <w:rFonts w:asciiTheme="minorHAnsi" w:eastAsia="Times New Roman" w:hAnsiTheme="minorHAnsi" w:cstheme="minorHAnsi"/>
          <w:sz w:val="22"/>
        </w:rPr>
        <w:tab/>
        <w:t xml:space="preserve">As regards Non-Performing Assets, banks may be guided by para 3.2.3 of Reserve Bank of India’s </w:t>
      </w:r>
      <w:hyperlink r:id="rId8" w:tgtFrame="_blank" w:history="1">
        <w:r w:rsidRPr="009F1D96">
          <w:rPr>
            <w:rFonts w:asciiTheme="minorHAnsi" w:eastAsia="Times New Roman" w:hAnsiTheme="minorHAnsi" w:cstheme="minorHAnsi"/>
            <w:color w:val="0000FF"/>
            <w:sz w:val="22"/>
            <w:u w:val="single"/>
          </w:rPr>
          <w:t>Master Circular - Prudential norms on Income Recognition, Asset Classification and Provisioning pertaining to Advances dated April 1, 2023</w:t>
        </w:r>
      </w:hyperlink>
      <w:r w:rsidRPr="009F1D96">
        <w:rPr>
          <w:rFonts w:asciiTheme="minorHAnsi" w:eastAsia="Times New Roman" w:hAnsiTheme="minorHAnsi" w:cstheme="minorHAnsi"/>
          <w:sz w:val="22"/>
        </w:rPr>
        <w:t xml:space="preserve">, as per which in respect of NPAs, fees, commission and similar income that have accrued should cease to accrue in the current period and should be reversed with respect to past periods, if uncollected. </w:t>
      </w:r>
    </w:p>
    <w:p w14:paraId="60322C4A" w14:textId="77777777" w:rsidR="009F1D96" w:rsidRPr="009F1D96" w:rsidRDefault="009F1D96" w:rsidP="009F1D96">
      <w:pPr>
        <w:tabs>
          <w:tab w:val="left" w:pos="1620"/>
        </w:tabs>
        <w:spacing w:after="0" w:line="240" w:lineRule="auto"/>
        <w:ind w:left="1170" w:hanging="180"/>
        <w:rPr>
          <w:rFonts w:asciiTheme="minorHAnsi" w:eastAsia="Times New Roman" w:hAnsiTheme="minorHAnsi" w:cstheme="minorHAnsi"/>
          <w:sz w:val="22"/>
        </w:rPr>
      </w:pPr>
    </w:p>
    <w:p w14:paraId="7FDA0BD0" w14:textId="77777777" w:rsidR="009F1D96" w:rsidRPr="009F1D96" w:rsidRDefault="009F1D96" w:rsidP="00C774BA">
      <w:pPr>
        <w:tabs>
          <w:tab w:val="left" w:pos="1620"/>
        </w:tabs>
        <w:spacing w:after="0" w:line="240" w:lineRule="auto"/>
        <w:ind w:left="1170" w:firstLine="0"/>
        <w:rPr>
          <w:rFonts w:asciiTheme="minorHAnsi" w:eastAsia="Times New Roman" w:hAnsiTheme="minorHAnsi" w:cstheme="minorHAnsi"/>
          <w:sz w:val="22"/>
        </w:rPr>
      </w:pPr>
      <w:r w:rsidRPr="009F1D96">
        <w:rPr>
          <w:rFonts w:asciiTheme="minorHAnsi" w:eastAsia="Times New Roman" w:hAnsiTheme="minorHAnsi" w:cstheme="minorHAnsi"/>
          <w:sz w:val="22"/>
        </w:rPr>
        <w:lastRenderedPageBreak/>
        <w:t xml:space="preserve">Accordingly, in respect of NPA accounts, penal charges shall be reversed to the extent they remain uncollected for the specific purpose of non-recognition of income. </w:t>
      </w:r>
    </w:p>
    <w:p w14:paraId="6B043135" w14:textId="77777777" w:rsidR="009F1D96" w:rsidRPr="009F1D96" w:rsidRDefault="009F1D96" w:rsidP="00C774BA">
      <w:pPr>
        <w:tabs>
          <w:tab w:val="left" w:pos="1620"/>
        </w:tabs>
        <w:spacing w:after="0" w:line="240" w:lineRule="auto"/>
        <w:ind w:left="1170" w:firstLine="0"/>
        <w:rPr>
          <w:rFonts w:asciiTheme="minorHAnsi" w:eastAsia="Times New Roman" w:hAnsiTheme="minorHAnsi" w:cstheme="minorHAnsi"/>
          <w:sz w:val="22"/>
        </w:rPr>
      </w:pPr>
    </w:p>
    <w:p w14:paraId="1AE0A7D5" w14:textId="77777777" w:rsidR="009F1D96" w:rsidRPr="009F1D96" w:rsidRDefault="009F1D96" w:rsidP="00C774BA">
      <w:pPr>
        <w:tabs>
          <w:tab w:val="left" w:pos="1620"/>
        </w:tabs>
        <w:spacing w:after="0" w:line="240" w:lineRule="auto"/>
        <w:ind w:left="1170" w:firstLine="0"/>
        <w:rPr>
          <w:rFonts w:asciiTheme="minorHAnsi" w:eastAsia="Times New Roman" w:hAnsiTheme="minorHAnsi" w:cstheme="minorHAnsi"/>
          <w:sz w:val="22"/>
        </w:rPr>
      </w:pPr>
      <w:r w:rsidRPr="009F1D96">
        <w:rPr>
          <w:rFonts w:asciiTheme="minorHAnsi" w:eastAsia="Times New Roman" w:hAnsiTheme="minorHAnsi" w:cstheme="minorHAnsi"/>
          <w:sz w:val="22"/>
        </w:rPr>
        <w:t>However, the same shall be part of the total liability of a borrower to the Bank, unless   waived as per policy.</w:t>
      </w:r>
    </w:p>
    <w:p w14:paraId="314CB8D2" w14:textId="77777777" w:rsidR="0053308B" w:rsidRPr="004F50D4" w:rsidRDefault="0053308B" w:rsidP="004F50D4">
      <w:pPr>
        <w:pStyle w:val="ListParagraph"/>
        <w:spacing w:after="0" w:line="240" w:lineRule="auto"/>
        <w:ind w:left="1440" w:firstLine="0"/>
        <w:rPr>
          <w:rFonts w:asciiTheme="minorHAnsi" w:hAnsiTheme="minorHAnsi" w:cstheme="minorHAnsi"/>
          <w:sz w:val="22"/>
        </w:rPr>
      </w:pPr>
    </w:p>
    <w:p w14:paraId="3AA78474" w14:textId="6D296A68" w:rsidR="0041799D" w:rsidRPr="004F50D4" w:rsidRDefault="000E43B9" w:rsidP="004F50D4">
      <w:pPr>
        <w:pStyle w:val="ListParagraph"/>
        <w:numPr>
          <w:ilvl w:val="1"/>
          <w:numId w:val="12"/>
        </w:numPr>
        <w:spacing w:after="0" w:line="240" w:lineRule="auto"/>
        <w:ind w:left="1440" w:hanging="720"/>
        <w:rPr>
          <w:rFonts w:asciiTheme="minorHAnsi" w:hAnsiTheme="minorHAnsi" w:cstheme="minorHAnsi"/>
          <w:sz w:val="22"/>
        </w:rPr>
      </w:pPr>
      <w:r>
        <w:rPr>
          <w:rFonts w:asciiTheme="minorHAnsi" w:hAnsiTheme="minorHAnsi" w:cstheme="minorHAnsi"/>
          <w:sz w:val="22"/>
        </w:rPr>
        <w:t xml:space="preserve">BILIL’s </w:t>
      </w:r>
      <w:r w:rsidR="0041799D" w:rsidRPr="004F50D4">
        <w:rPr>
          <w:rFonts w:asciiTheme="minorHAnsi" w:hAnsiTheme="minorHAnsi" w:cstheme="minorHAnsi"/>
          <w:sz w:val="22"/>
        </w:rPr>
        <w:t>Operations</w:t>
      </w:r>
      <w:r w:rsidR="008C0A11" w:rsidRPr="004F50D4">
        <w:rPr>
          <w:rFonts w:asciiTheme="minorHAnsi" w:hAnsiTheme="minorHAnsi" w:cstheme="minorHAnsi"/>
          <w:sz w:val="22"/>
        </w:rPr>
        <w:t xml:space="preserve"> department has the responsibility to implement the </w:t>
      </w:r>
      <w:r w:rsidR="001D7E2B" w:rsidRPr="004F50D4">
        <w:rPr>
          <w:rFonts w:asciiTheme="minorHAnsi" w:hAnsiTheme="minorHAnsi" w:cstheme="minorHAnsi"/>
          <w:sz w:val="22"/>
        </w:rPr>
        <w:t>Policy</w:t>
      </w:r>
      <w:r w:rsidR="0086295E" w:rsidRPr="004F50D4">
        <w:rPr>
          <w:rFonts w:asciiTheme="minorHAnsi" w:hAnsiTheme="minorHAnsi" w:cstheme="minorHAnsi"/>
          <w:sz w:val="22"/>
        </w:rPr>
        <w:t xml:space="preserve"> in compliance with the Regulation</w:t>
      </w:r>
      <w:r w:rsidR="0041799D" w:rsidRPr="004F50D4">
        <w:rPr>
          <w:rFonts w:asciiTheme="minorHAnsi" w:hAnsiTheme="minorHAnsi" w:cstheme="minorHAnsi"/>
          <w:sz w:val="22"/>
        </w:rPr>
        <w:t>.</w:t>
      </w:r>
    </w:p>
    <w:p w14:paraId="42920B82" w14:textId="77777777" w:rsidR="0053308B" w:rsidRPr="004F50D4" w:rsidRDefault="0053308B" w:rsidP="004F50D4">
      <w:pPr>
        <w:pStyle w:val="ListParagraph"/>
        <w:spacing w:after="0" w:line="240" w:lineRule="auto"/>
        <w:ind w:left="1440" w:firstLine="0"/>
        <w:rPr>
          <w:rFonts w:asciiTheme="minorHAnsi" w:hAnsiTheme="minorHAnsi" w:cstheme="minorHAnsi"/>
          <w:sz w:val="22"/>
        </w:rPr>
      </w:pPr>
    </w:p>
    <w:p w14:paraId="479119F3" w14:textId="2DDF6B92" w:rsidR="0041799D" w:rsidRPr="004F50D4" w:rsidRDefault="000E43B9" w:rsidP="004F50D4">
      <w:pPr>
        <w:pStyle w:val="ListParagraph"/>
        <w:numPr>
          <w:ilvl w:val="1"/>
          <w:numId w:val="12"/>
        </w:numPr>
        <w:spacing w:after="0" w:line="240" w:lineRule="auto"/>
        <w:ind w:left="1440" w:hanging="720"/>
        <w:rPr>
          <w:rFonts w:asciiTheme="minorHAnsi" w:hAnsiTheme="minorHAnsi" w:cstheme="minorHAnsi"/>
          <w:sz w:val="22"/>
        </w:rPr>
      </w:pPr>
      <w:r>
        <w:rPr>
          <w:rFonts w:asciiTheme="minorHAnsi" w:hAnsiTheme="minorHAnsi" w:cstheme="minorHAnsi"/>
          <w:sz w:val="22"/>
        </w:rPr>
        <w:t xml:space="preserve">BILIL </w:t>
      </w:r>
      <w:r w:rsidR="001D7E2B" w:rsidRPr="004F50D4">
        <w:rPr>
          <w:rFonts w:asciiTheme="minorHAnsi" w:hAnsiTheme="minorHAnsi" w:cstheme="minorHAnsi"/>
          <w:sz w:val="22"/>
        </w:rPr>
        <w:t xml:space="preserve">will incorporate appropriate clauses in contractual documents with customers </w:t>
      </w:r>
      <w:r w:rsidR="001D7E2B" w:rsidRPr="000C1C2A">
        <w:rPr>
          <w:rFonts w:asciiTheme="minorHAnsi" w:hAnsiTheme="minorHAnsi" w:cstheme="minorHAnsi"/>
          <w:sz w:val="22"/>
        </w:rPr>
        <w:t xml:space="preserve">substantively based on the form in the </w:t>
      </w:r>
      <w:proofErr w:type="gramStart"/>
      <w:r w:rsidR="001D7E2B" w:rsidRPr="000C1C2A">
        <w:rPr>
          <w:rFonts w:asciiTheme="minorHAnsi" w:hAnsiTheme="minorHAnsi" w:cstheme="minorHAnsi"/>
          <w:b/>
          <w:sz w:val="22"/>
        </w:rPr>
        <w:t xml:space="preserve">Annexure </w:t>
      </w:r>
      <w:r w:rsidR="006040BB" w:rsidRPr="000C1C2A">
        <w:rPr>
          <w:rFonts w:asciiTheme="minorHAnsi" w:hAnsiTheme="minorHAnsi" w:cstheme="minorHAnsi"/>
          <w:b/>
          <w:sz w:val="22"/>
        </w:rPr>
        <w:t xml:space="preserve"> 1</w:t>
      </w:r>
      <w:proofErr w:type="gramEnd"/>
      <w:r w:rsidR="006040BB" w:rsidRPr="000C1C2A">
        <w:rPr>
          <w:rFonts w:asciiTheme="minorHAnsi" w:hAnsiTheme="minorHAnsi" w:cstheme="minorHAnsi"/>
          <w:sz w:val="22"/>
        </w:rPr>
        <w:t>, and issue an amendatory provision for existing facilities on the basis of the from in Annexure 1</w:t>
      </w:r>
      <w:r w:rsidR="00E12239" w:rsidRPr="000C1C2A">
        <w:rPr>
          <w:rFonts w:asciiTheme="minorHAnsi" w:hAnsiTheme="minorHAnsi" w:cstheme="minorHAnsi"/>
          <w:b/>
          <w:sz w:val="22"/>
        </w:rPr>
        <w:t>.</w:t>
      </w:r>
    </w:p>
    <w:p w14:paraId="464B1E0A" w14:textId="33C12963" w:rsidR="00397E48" w:rsidRDefault="00397E48" w:rsidP="004F50D4">
      <w:pPr>
        <w:spacing w:after="0" w:line="240" w:lineRule="auto"/>
        <w:contextualSpacing/>
        <w:rPr>
          <w:rFonts w:asciiTheme="minorHAnsi" w:hAnsiTheme="minorHAnsi" w:cstheme="minorHAnsi"/>
          <w:sz w:val="22"/>
        </w:rPr>
      </w:pPr>
    </w:p>
    <w:p w14:paraId="145D8333" w14:textId="77777777" w:rsidR="00823EDA" w:rsidRPr="004F50D4" w:rsidRDefault="00823EDA" w:rsidP="004F50D4">
      <w:pPr>
        <w:spacing w:after="0" w:line="240" w:lineRule="auto"/>
        <w:contextualSpacing/>
        <w:rPr>
          <w:rFonts w:asciiTheme="minorHAnsi" w:hAnsiTheme="minorHAnsi" w:cstheme="minorHAnsi"/>
          <w:sz w:val="22"/>
        </w:rPr>
      </w:pPr>
    </w:p>
    <w:p w14:paraId="298075A6" w14:textId="77777777" w:rsidR="00E46E86" w:rsidRPr="004F50D4" w:rsidRDefault="00E46E86"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12" w:name="_Toc49708984"/>
      <w:bookmarkStart w:id="13" w:name="_Toc155014757"/>
      <w:r w:rsidRPr="004F50D4">
        <w:rPr>
          <w:rFonts w:asciiTheme="minorHAnsi" w:hAnsiTheme="minorHAnsi" w:cstheme="minorHAnsi"/>
          <w:sz w:val="22"/>
        </w:rPr>
        <w:t>Regulatory Coverage</w:t>
      </w:r>
      <w:bookmarkEnd w:id="12"/>
      <w:bookmarkEnd w:id="13"/>
    </w:p>
    <w:p w14:paraId="75685074" w14:textId="3ECFE5C0" w:rsidR="00E46E86" w:rsidRPr="004F50D4" w:rsidRDefault="00E46E86" w:rsidP="004F50D4">
      <w:pPr>
        <w:spacing w:after="0" w:line="240" w:lineRule="auto"/>
        <w:ind w:left="1440" w:firstLine="0"/>
        <w:rPr>
          <w:rFonts w:asciiTheme="minorHAnsi" w:hAnsiTheme="minorHAnsi" w:cstheme="minorHAnsi"/>
          <w:sz w:val="22"/>
        </w:rPr>
      </w:pPr>
    </w:p>
    <w:p w14:paraId="371F0559" w14:textId="1A13C287" w:rsidR="00F80068" w:rsidRPr="004F50D4" w:rsidRDefault="00E85442" w:rsidP="004F50D4">
      <w:p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6.1</w:t>
      </w:r>
      <w:r w:rsidR="00735A1F">
        <w:rPr>
          <w:rFonts w:asciiTheme="minorHAnsi" w:hAnsiTheme="minorHAnsi" w:cstheme="minorHAnsi"/>
          <w:sz w:val="22"/>
        </w:rPr>
        <w:t>.</w:t>
      </w:r>
      <w:r w:rsidRPr="004F50D4">
        <w:rPr>
          <w:rFonts w:asciiTheme="minorHAnsi" w:hAnsiTheme="minorHAnsi" w:cstheme="minorHAnsi"/>
          <w:sz w:val="22"/>
        </w:rPr>
        <w:tab/>
      </w:r>
      <w:r w:rsidR="00F80068" w:rsidRPr="004F50D4">
        <w:rPr>
          <w:rFonts w:asciiTheme="minorHAnsi" w:hAnsiTheme="minorHAnsi" w:cstheme="minorHAnsi"/>
          <w:sz w:val="22"/>
        </w:rPr>
        <w:t xml:space="preserve">Reserve Bank of India Regulated Entities (REs) that </w:t>
      </w:r>
      <w:r w:rsidR="006B07FC" w:rsidRPr="004F50D4">
        <w:rPr>
          <w:rFonts w:asciiTheme="minorHAnsi" w:hAnsiTheme="minorHAnsi" w:cstheme="minorHAnsi"/>
          <w:sz w:val="22"/>
        </w:rPr>
        <w:t xml:space="preserve">are </w:t>
      </w:r>
      <w:r w:rsidR="00F80068" w:rsidRPr="004F50D4">
        <w:rPr>
          <w:rFonts w:asciiTheme="minorHAnsi" w:hAnsiTheme="minorHAnsi" w:cstheme="minorHAnsi"/>
          <w:sz w:val="22"/>
        </w:rPr>
        <w:t xml:space="preserve">in scope </w:t>
      </w:r>
      <w:r w:rsidR="006B07FC" w:rsidRPr="004F50D4">
        <w:rPr>
          <w:rFonts w:asciiTheme="minorHAnsi" w:hAnsiTheme="minorHAnsi" w:cstheme="minorHAnsi"/>
          <w:sz w:val="22"/>
        </w:rPr>
        <w:t xml:space="preserve">under the Regulation </w:t>
      </w:r>
      <w:r w:rsidR="00F80068" w:rsidRPr="004F50D4">
        <w:rPr>
          <w:rFonts w:asciiTheme="minorHAnsi" w:hAnsiTheme="minorHAnsi" w:cstheme="minorHAnsi"/>
          <w:sz w:val="22"/>
        </w:rPr>
        <w:t xml:space="preserve">(this includes </w:t>
      </w:r>
      <w:r w:rsidR="00485C1F">
        <w:rPr>
          <w:rFonts w:asciiTheme="minorHAnsi" w:hAnsiTheme="minorHAnsi" w:cstheme="minorHAnsi"/>
          <w:sz w:val="22"/>
        </w:rPr>
        <w:t xml:space="preserve">BILIL </w:t>
      </w:r>
      <w:r w:rsidR="00F80068" w:rsidRPr="004F50D4">
        <w:rPr>
          <w:rFonts w:asciiTheme="minorHAnsi" w:hAnsiTheme="minorHAnsi" w:cstheme="minorHAnsi"/>
          <w:sz w:val="22"/>
        </w:rPr>
        <w:t>as a</w:t>
      </w:r>
      <w:r w:rsidR="00485C1F">
        <w:rPr>
          <w:rFonts w:asciiTheme="minorHAnsi" w:hAnsiTheme="minorHAnsi" w:cstheme="minorHAnsi"/>
          <w:sz w:val="22"/>
        </w:rPr>
        <w:t xml:space="preserve"> non-banking financial company</w:t>
      </w:r>
      <w:proofErr w:type="gramStart"/>
      <w:r w:rsidR="00F80068" w:rsidRPr="004F50D4">
        <w:rPr>
          <w:rFonts w:asciiTheme="minorHAnsi" w:hAnsiTheme="minorHAnsi" w:cstheme="minorHAnsi"/>
          <w:sz w:val="22"/>
        </w:rPr>
        <w:t>),  are</w:t>
      </w:r>
      <w:proofErr w:type="gramEnd"/>
      <w:r w:rsidR="00F80068" w:rsidRPr="004F50D4">
        <w:rPr>
          <w:rFonts w:asciiTheme="minorHAnsi" w:hAnsiTheme="minorHAnsi" w:cstheme="minorHAnsi"/>
          <w:sz w:val="22"/>
        </w:rPr>
        <w:t xml:space="preserve"> required to ensure reasonableness and transparency in disclosure of penal charges on loans</w:t>
      </w:r>
      <w:r w:rsidRPr="004F50D4">
        <w:rPr>
          <w:rStyle w:val="FootnoteReference"/>
          <w:rFonts w:asciiTheme="minorHAnsi" w:hAnsiTheme="minorHAnsi" w:cstheme="minorHAnsi"/>
          <w:sz w:val="22"/>
        </w:rPr>
        <w:footnoteReference w:id="2"/>
      </w:r>
      <w:r w:rsidR="00F80068" w:rsidRPr="004F50D4">
        <w:rPr>
          <w:rFonts w:asciiTheme="minorHAnsi" w:hAnsiTheme="minorHAnsi" w:cstheme="minorHAnsi"/>
          <w:sz w:val="22"/>
        </w:rPr>
        <w:t xml:space="preserve">. </w:t>
      </w:r>
    </w:p>
    <w:p w14:paraId="56C96C9E" w14:textId="77777777" w:rsidR="00E46E86" w:rsidRPr="004F50D4" w:rsidRDefault="00E46E86" w:rsidP="004F50D4">
      <w:pPr>
        <w:spacing w:after="0" w:line="240" w:lineRule="auto"/>
        <w:ind w:left="1440" w:firstLine="0"/>
        <w:rPr>
          <w:rFonts w:asciiTheme="minorHAnsi" w:hAnsiTheme="minorHAnsi" w:cstheme="minorHAnsi"/>
          <w:sz w:val="22"/>
        </w:rPr>
      </w:pPr>
    </w:p>
    <w:p w14:paraId="0858D1DA" w14:textId="68E4100A" w:rsidR="00E46E86" w:rsidRPr="004F50D4" w:rsidRDefault="00485C1F" w:rsidP="004F50D4">
      <w:pPr>
        <w:spacing w:after="0" w:line="240" w:lineRule="auto"/>
        <w:ind w:left="1440" w:firstLine="0"/>
        <w:rPr>
          <w:rFonts w:asciiTheme="minorHAnsi" w:hAnsiTheme="minorHAnsi" w:cstheme="minorHAnsi"/>
          <w:sz w:val="22"/>
        </w:rPr>
      </w:pPr>
      <w:r>
        <w:rPr>
          <w:rFonts w:asciiTheme="minorHAnsi" w:hAnsiTheme="minorHAnsi" w:cstheme="minorHAnsi"/>
          <w:sz w:val="22"/>
        </w:rPr>
        <w:t xml:space="preserve">BILIL’s </w:t>
      </w:r>
      <w:r w:rsidR="006B07FC" w:rsidRPr="004F50D4">
        <w:rPr>
          <w:rFonts w:asciiTheme="minorHAnsi" w:hAnsiTheme="minorHAnsi" w:cstheme="minorHAnsi"/>
          <w:sz w:val="22"/>
        </w:rPr>
        <w:t>P</w:t>
      </w:r>
      <w:r w:rsidR="00E46E86" w:rsidRPr="004F50D4">
        <w:rPr>
          <w:rFonts w:asciiTheme="minorHAnsi" w:hAnsiTheme="minorHAnsi" w:cstheme="minorHAnsi"/>
          <w:sz w:val="22"/>
        </w:rPr>
        <w:t xml:space="preserve">olicy </w:t>
      </w:r>
      <w:proofErr w:type="gramStart"/>
      <w:r w:rsidR="00E46E86" w:rsidRPr="004F50D4">
        <w:rPr>
          <w:rFonts w:asciiTheme="minorHAnsi" w:hAnsiTheme="minorHAnsi" w:cstheme="minorHAnsi"/>
          <w:sz w:val="22"/>
        </w:rPr>
        <w:t>with regard to</w:t>
      </w:r>
      <w:proofErr w:type="gramEnd"/>
      <w:r w:rsidR="00E46E86" w:rsidRPr="004F50D4">
        <w:rPr>
          <w:rFonts w:asciiTheme="minorHAnsi" w:hAnsiTheme="minorHAnsi" w:cstheme="minorHAnsi"/>
          <w:sz w:val="22"/>
        </w:rPr>
        <w:t xml:space="preserve"> penal charges, proceeds on the basis that:</w:t>
      </w:r>
    </w:p>
    <w:p w14:paraId="5277539D" w14:textId="77777777" w:rsidR="00E46E86" w:rsidRPr="004F50D4" w:rsidRDefault="00E46E86" w:rsidP="004F50D4">
      <w:pPr>
        <w:spacing w:after="0" w:line="240" w:lineRule="auto"/>
        <w:ind w:left="1440" w:firstLine="0"/>
        <w:rPr>
          <w:rFonts w:asciiTheme="minorHAnsi" w:hAnsiTheme="minorHAnsi" w:cstheme="minorHAnsi"/>
          <w:sz w:val="22"/>
        </w:rPr>
      </w:pPr>
    </w:p>
    <w:p w14:paraId="46CF8973" w14:textId="08CF7FB3" w:rsidR="00E46E86" w:rsidRPr="004F50D4" w:rsidRDefault="00EC4609" w:rsidP="004F50D4">
      <w:pPr>
        <w:pStyle w:val="ListParagraph"/>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 xml:space="preserve">he intent of levying penal charges is essentially to inculcate a sense of credit discipline. Such charges are not meant to be used as a revenue enhancement tool over and above the contracted rate of interest. </w:t>
      </w:r>
    </w:p>
    <w:p w14:paraId="22D8CB55" w14:textId="77777777" w:rsidR="00E46E86" w:rsidRPr="004F50D4" w:rsidRDefault="00E46E86" w:rsidP="004F50D4">
      <w:pPr>
        <w:spacing w:after="0" w:line="240" w:lineRule="auto"/>
        <w:ind w:left="2160" w:hanging="720"/>
        <w:rPr>
          <w:rFonts w:asciiTheme="minorHAnsi" w:hAnsiTheme="minorHAnsi" w:cstheme="minorHAnsi"/>
          <w:sz w:val="22"/>
        </w:rPr>
      </w:pPr>
    </w:p>
    <w:p w14:paraId="71FD4B73" w14:textId="28874F37"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p</w:t>
      </w:r>
      <w:r w:rsidR="00E46E86" w:rsidRPr="004F50D4">
        <w:rPr>
          <w:rFonts w:asciiTheme="minorHAnsi" w:hAnsiTheme="minorHAnsi" w:cstheme="minorHAnsi"/>
          <w:sz w:val="22"/>
        </w:rPr>
        <w:t xml:space="preserve">enalty, where charged by </w:t>
      </w:r>
      <w:r w:rsidR="00485C1F">
        <w:rPr>
          <w:rFonts w:asciiTheme="minorHAnsi" w:hAnsiTheme="minorHAnsi" w:cstheme="minorHAnsi"/>
          <w:sz w:val="22"/>
        </w:rPr>
        <w:t xml:space="preserve">BILIL </w:t>
      </w:r>
      <w:r w:rsidR="00E46E86" w:rsidRPr="004F50D4">
        <w:rPr>
          <w:rFonts w:asciiTheme="minorHAnsi" w:hAnsiTheme="minorHAnsi" w:cstheme="minorHAnsi"/>
          <w:sz w:val="22"/>
        </w:rPr>
        <w:t>on borrowing customers for non-compliance with material terms and conditions of the loan contract by the borrower shall be treated as ‘</w:t>
      </w:r>
      <w:r w:rsidR="00E46E86" w:rsidRPr="000915FF">
        <w:rPr>
          <w:rFonts w:asciiTheme="minorHAnsi" w:hAnsiTheme="minorHAnsi" w:cstheme="minorHAnsi"/>
          <w:b/>
          <w:sz w:val="22"/>
        </w:rPr>
        <w:t xml:space="preserve">penal </w:t>
      </w:r>
      <w:proofErr w:type="gramStart"/>
      <w:r w:rsidR="00E46E86" w:rsidRPr="000915FF">
        <w:rPr>
          <w:rFonts w:asciiTheme="minorHAnsi" w:hAnsiTheme="minorHAnsi" w:cstheme="minorHAnsi"/>
          <w:b/>
          <w:sz w:val="22"/>
        </w:rPr>
        <w:t>charges’</w:t>
      </w:r>
      <w:r w:rsidR="00E46E86" w:rsidRPr="004F50D4">
        <w:rPr>
          <w:rFonts w:asciiTheme="minorHAnsi" w:hAnsiTheme="minorHAnsi" w:cstheme="minorHAnsi"/>
          <w:sz w:val="22"/>
        </w:rPr>
        <w:t>, and</w:t>
      </w:r>
      <w:proofErr w:type="gramEnd"/>
      <w:r w:rsidR="00E46E86" w:rsidRPr="004F50D4">
        <w:rPr>
          <w:rFonts w:asciiTheme="minorHAnsi" w:hAnsiTheme="minorHAnsi" w:cstheme="minorHAnsi"/>
          <w:sz w:val="22"/>
        </w:rPr>
        <w:t xml:space="preserve"> shall not be levied in the form of ‘</w:t>
      </w:r>
      <w:r w:rsidR="00E46E86" w:rsidRPr="000915FF">
        <w:rPr>
          <w:rFonts w:asciiTheme="minorHAnsi" w:hAnsiTheme="minorHAnsi" w:cstheme="minorHAnsi"/>
          <w:b/>
          <w:sz w:val="22"/>
        </w:rPr>
        <w:t>penal interest’</w:t>
      </w:r>
      <w:r w:rsidR="00E46E86" w:rsidRPr="004F50D4">
        <w:rPr>
          <w:rFonts w:asciiTheme="minorHAnsi" w:hAnsiTheme="minorHAnsi" w:cstheme="minorHAnsi"/>
          <w:sz w:val="22"/>
        </w:rPr>
        <w:t xml:space="preserve"> that is added to the rate of interest charged on the advances. </w:t>
      </w:r>
    </w:p>
    <w:p w14:paraId="1D44773C" w14:textId="77777777" w:rsidR="00E46E86" w:rsidRPr="004F50D4" w:rsidRDefault="00E46E86" w:rsidP="004F50D4">
      <w:pPr>
        <w:spacing w:after="0" w:line="240" w:lineRule="auto"/>
        <w:ind w:left="2160" w:hanging="720"/>
        <w:rPr>
          <w:rFonts w:asciiTheme="minorHAnsi" w:hAnsiTheme="minorHAnsi" w:cstheme="minorHAnsi"/>
          <w:sz w:val="22"/>
        </w:rPr>
      </w:pPr>
    </w:p>
    <w:p w14:paraId="669F0765" w14:textId="69F6BD42"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 xml:space="preserve">here shall be no </w:t>
      </w:r>
      <w:proofErr w:type="spellStart"/>
      <w:r w:rsidR="00E46E86" w:rsidRPr="004F50D4">
        <w:rPr>
          <w:rFonts w:asciiTheme="minorHAnsi" w:hAnsiTheme="minorHAnsi" w:cstheme="minorHAnsi"/>
          <w:sz w:val="22"/>
        </w:rPr>
        <w:t>capitalisation</w:t>
      </w:r>
      <w:proofErr w:type="spellEnd"/>
      <w:r w:rsidR="00E46E86" w:rsidRPr="004F50D4">
        <w:rPr>
          <w:rFonts w:asciiTheme="minorHAnsi" w:hAnsiTheme="minorHAnsi" w:cstheme="minorHAnsi"/>
          <w:sz w:val="22"/>
        </w:rPr>
        <w:t xml:space="preserve"> of penal charges i.e., no further interest computed on such charges. This does not affect the normal procedures </w:t>
      </w:r>
      <w:r w:rsidR="00485C1F">
        <w:rPr>
          <w:rFonts w:asciiTheme="minorHAnsi" w:hAnsiTheme="minorHAnsi" w:cstheme="minorHAnsi"/>
          <w:sz w:val="22"/>
        </w:rPr>
        <w:t xml:space="preserve">BILIL </w:t>
      </w:r>
      <w:r w:rsidR="00E46E86" w:rsidRPr="004F50D4">
        <w:rPr>
          <w:rFonts w:asciiTheme="minorHAnsi" w:hAnsiTheme="minorHAnsi" w:cstheme="minorHAnsi"/>
          <w:sz w:val="22"/>
        </w:rPr>
        <w:t xml:space="preserve">applies for compounding of interest in the loan account. </w:t>
      </w:r>
    </w:p>
    <w:p w14:paraId="7DEB9C48" w14:textId="77777777" w:rsidR="00E46E86" w:rsidRPr="004F50D4" w:rsidRDefault="00E46E86" w:rsidP="004F50D4">
      <w:pPr>
        <w:spacing w:after="0" w:line="240" w:lineRule="auto"/>
        <w:ind w:left="2160" w:hanging="720"/>
        <w:rPr>
          <w:rFonts w:asciiTheme="minorHAnsi" w:hAnsiTheme="minorHAnsi" w:cstheme="minorHAnsi"/>
          <w:sz w:val="22"/>
        </w:rPr>
      </w:pPr>
    </w:p>
    <w:p w14:paraId="52D77A41" w14:textId="197ED6CC"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here is no additional component to the rate of interest.</w:t>
      </w:r>
    </w:p>
    <w:p w14:paraId="2F79F272" w14:textId="77777777" w:rsidR="00E46E86" w:rsidRPr="004F50D4" w:rsidRDefault="00E46E86" w:rsidP="004F50D4">
      <w:pPr>
        <w:pStyle w:val="ListParagraph"/>
        <w:spacing w:after="0" w:line="240" w:lineRule="auto"/>
        <w:ind w:left="2160" w:hanging="720"/>
        <w:rPr>
          <w:rFonts w:asciiTheme="minorHAnsi" w:hAnsiTheme="minorHAnsi" w:cstheme="minorHAnsi"/>
          <w:sz w:val="22"/>
        </w:rPr>
      </w:pPr>
    </w:p>
    <w:p w14:paraId="7456C94A" w14:textId="39C77A5F"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 xml:space="preserve">he quantum of penal charges applied by </w:t>
      </w:r>
      <w:r w:rsidR="00485C1F">
        <w:rPr>
          <w:rFonts w:asciiTheme="minorHAnsi" w:hAnsiTheme="minorHAnsi" w:cstheme="minorHAnsi"/>
          <w:sz w:val="22"/>
        </w:rPr>
        <w:t xml:space="preserve">BILIL </w:t>
      </w:r>
      <w:r w:rsidR="00E46E86" w:rsidRPr="004F50D4">
        <w:rPr>
          <w:rFonts w:asciiTheme="minorHAnsi" w:hAnsiTheme="minorHAnsi" w:cstheme="minorHAnsi"/>
          <w:sz w:val="22"/>
        </w:rPr>
        <w:t>will be reasonable, and commensurate with the non-compliance of material terms and conditions of the loan contract, without being discriminatory within a particular loan/product category.</w:t>
      </w:r>
    </w:p>
    <w:p w14:paraId="40751FD5" w14:textId="77777777" w:rsidR="00E46E86" w:rsidRPr="004F50D4" w:rsidRDefault="00E46E86" w:rsidP="004F50D4">
      <w:p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 xml:space="preserve">  </w:t>
      </w:r>
    </w:p>
    <w:p w14:paraId="68530345" w14:textId="34AE6FD8"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 xml:space="preserve">he penal charges in case of loans sanctioned to ‘individual borrowers, for purposes other than business’, shall not be higher than the penal charges </w:t>
      </w:r>
      <w:r w:rsidR="00E46E86" w:rsidRPr="004F50D4">
        <w:rPr>
          <w:rFonts w:asciiTheme="minorHAnsi" w:hAnsiTheme="minorHAnsi" w:cstheme="minorHAnsi"/>
          <w:sz w:val="22"/>
        </w:rPr>
        <w:lastRenderedPageBreak/>
        <w:t xml:space="preserve">applicable to non-individual borrowers for similar non-compliance with material terms and conditions. </w:t>
      </w:r>
    </w:p>
    <w:p w14:paraId="53B1668D" w14:textId="77777777" w:rsidR="00E46E86" w:rsidRPr="004F50D4" w:rsidRDefault="00E46E86" w:rsidP="004F50D4">
      <w:pPr>
        <w:spacing w:after="0" w:line="240" w:lineRule="auto"/>
        <w:ind w:left="2160" w:hanging="720"/>
        <w:rPr>
          <w:rFonts w:asciiTheme="minorHAnsi" w:hAnsiTheme="minorHAnsi" w:cstheme="minorHAnsi"/>
          <w:sz w:val="22"/>
        </w:rPr>
      </w:pPr>
    </w:p>
    <w:p w14:paraId="57B80C0F" w14:textId="77A3685F"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 xml:space="preserve">he quantum and reason for penal charges shall be clearly disclosed by </w:t>
      </w:r>
      <w:r w:rsidR="00485C1F">
        <w:rPr>
          <w:rFonts w:asciiTheme="minorHAnsi" w:hAnsiTheme="minorHAnsi" w:cstheme="minorHAnsi"/>
          <w:sz w:val="22"/>
        </w:rPr>
        <w:t xml:space="preserve">BILIL </w:t>
      </w:r>
      <w:r w:rsidR="00E46E86" w:rsidRPr="004F50D4">
        <w:rPr>
          <w:rFonts w:asciiTheme="minorHAnsi" w:hAnsiTheme="minorHAnsi" w:cstheme="minorHAnsi"/>
          <w:sz w:val="22"/>
        </w:rPr>
        <w:t>to the customers in the loan agreement and, where applicable</w:t>
      </w:r>
      <w:r w:rsidR="00E46E86" w:rsidRPr="000C1C2A">
        <w:rPr>
          <w:rFonts w:asciiTheme="minorHAnsi" w:hAnsiTheme="minorHAnsi" w:cstheme="minorHAnsi"/>
          <w:sz w:val="22"/>
        </w:rPr>
        <w:t xml:space="preserve">, in </w:t>
      </w:r>
      <w:proofErr w:type="gramStart"/>
      <w:r w:rsidR="00485C1F" w:rsidRPr="000C1C2A">
        <w:rPr>
          <w:rFonts w:asciiTheme="minorHAnsi" w:hAnsiTheme="minorHAnsi" w:cstheme="minorHAnsi"/>
          <w:sz w:val="22"/>
        </w:rPr>
        <w:t>BILIL’s</w:t>
      </w:r>
      <w:r w:rsidR="00E46E86" w:rsidRPr="000C1C2A">
        <w:rPr>
          <w:rFonts w:asciiTheme="minorHAnsi" w:hAnsiTheme="minorHAnsi" w:cstheme="minorHAnsi"/>
          <w:sz w:val="22"/>
        </w:rPr>
        <w:t xml:space="preserve">  most</w:t>
      </w:r>
      <w:proofErr w:type="gramEnd"/>
      <w:r w:rsidR="00E46E86" w:rsidRPr="000C1C2A">
        <w:rPr>
          <w:rFonts w:asciiTheme="minorHAnsi" w:hAnsiTheme="minorHAnsi" w:cstheme="minorHAnsi"/>
          <w:sz w:val="22"/>
        </w:rPr>
        <w:t xml:space="preserve"> important terms &amp; conditions</w:t>
      </w:r>
      <w:r w:rsidR="00E46E86" w:rsidRPr="004F50D4">
        <w:rPr>
          <w:rFonts w:asciiTheme="minorHAnsi" w:hAnsiTheme="minorHAnsi" w:cstheme="minorHAnsi"/>
          <w:sz w:val="22"/>
        </w:rPr>
        <w:t>.</w:t>
      </w:r>
    </w:p>
    <w:p w14:paraId="4AB37750" w14:textId="77777777" w:rsidR="00E46E86" w:rsidRPr="004F50D4" w:rsidRDefault="00E46E86" w:rsidP="004F50D4">
      <w:pPr>
        <w:spacing w:after="0" w:line="240" w:lineRule="auto"/>
        <w:ind w:left="2160" w:hanging="720"/>
        <w:rPr>
          <w:rFonts w:asciiTheme="minorHAnsi" w:hAnsiTheme="minorHAnsi" w:cstheme="minorHAnsi"/>
          <w:sz w:val="22"/>
        </w:rPr>
      </w:pPr>
    </w:p>
    <w:p w14:paraId="61F50610" w14:textId="2318E9A3" w:rsidR="00E46E86" w:rsidRPr="004F50D4" w:rsidRDefault="00EC4609" w:rsidP="004F50D4">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t</w:t>
      </w:r>
      <w:r w:rsidR="00E46E86" w:rsidRPr="004F50D4">
        <w:rPr>
          <w:rFonts w:asciiTheme="minorHAnsi" w:hAnsiTheme="minorHAnsi" w:cstheme="minorHAnsi"/>
          <w:sz w:val="22"/>
        </w:rPr>
        <w:t xml:space="preserve">he penal charges that are applicable are displayed on </w:t>
      </w:r>
      <w:r w:rsidR="00485C1F">
        <w:rPr>
          <w:rFonts w:asciiTheme="minorHAnsi" w:hAnsiTheme="minorHAnsi" w:cstheme="minorHAnsi"/>
          <w:sz w:val="22"/>
        </w:rPr>
        <w:t xml:space="preserve">BILIL’s </w:t>
      </w:r>
      <w:r w:rsidR="00E46E86" w:rsidRPr="004F50D4">
        <w:rPr>
          <w:rFonts w:asciiTheme="minorHAnsi" w:hAnsiTheme="minorHAnsi" w:cstheme="minorHAnsi"/>
          <w:sz w:val="22"/>
        </w:rPr>
        <w:t xml:space="preserve">website under the link </w:t>
      </w:r>
      <w:proofErr w:type="gramStart"/>
      <w:r w:rsidR="00E46E86" w:rsidRPr="004F50D4">
        <w:rPr>
          <w:rFonts w:asciiTheme="minorHAnsi" w:hAnsiTheme="minorHAnsi" w:cstheme="minorHAnsi"/>
          <w:sz w:val="22"/>
        </w:rPr>
        <w:t>for  Interest</w:t>
      </w:r>
      <w:proofErr w:type="gramEnd"/>
      <w:r w:rsidR="00E46E86" w:rsidRPr="004F50D4">
        <w:rPr>
          <w:rFonts w:asciiTheme="minorHAnsi" w:hAnsiTheme="minorHAnsi" w:cstheme="minorHAnsi"/>
          <w:sz w:val="22"/>
        </w:rPr>
        <w:t xml:space="preserve"> rates and Service Charges.</w:t>
      </w:r>
    </w:p>
    <w:p w14:paraId="0FF67107" w14:textId="77777777" w:rsidR="00E46E86" w:rsidRPr="004F50D4" w:rsidRDefault="00E46E86" w:rsidP="004F50D4">
      <w:pPr>
        <w:pStyle w:val="ListParagraph"/>
        <w:spacing w:after="0" w:line="240" w:lineRule="auto"/>
        <w:ind w:left="2160" w:hanging="720"/>
        <w:rPr>
          <w:rFonts w:asciiTheme="minorHAnsi" w:hAnsiTheme="minorHAnsi" w:cstheme="minorHAnsi"/>
          <w:sz w:val="22"/>
        </w:rPr>
      </w:pPr>
    </w:p>
    <w:p w14:paraId="45216332" w14:textId="02B8F189" w:rsidR="00E46E86" w:rsidRDefault="00EC4609" w:rsidP="00A3324B">
      <w:pPr>
        <w:numPr>
          <w:ilvl w:val="0"/>
          <w:numId w:val="2"/>
        </w:numPr>
        <w:spacing w:after="0" w:line="240" w:lineRule="auto"/>
        <w:ind w:left="2160" w:hanging="720"/>
        <w:rPr>
          <w:rFonts w:asciiTheme="minorHAnsi" w:hAnsiTheme="minorHAnsi" w:cstheme="minorHAnsi"/>
          <w:sz w:val="22"/>
        </w:rPr>
      </w:pPr>
      <w:r w:rsidRPr="004F50D4">
        <w:rPr>
          <w:rFonts w:asciiTheme="minorHAnsi" w:hAnsiTheme="minorHAnsi" w:cstheme="minorHAnsi"/>
          <w:sz w:val="22"/>
        </w:rPr>
        <w:t>w</w:t>
      </w:r>
      <w:r w:rsidR="00E46E86" w:rsidRPr="004F50D4">
        <w:rPr>
          <w:rFonts w:asciiTheme="minorHAnsi" w:hAnsiTheme="minorHAnsi" w:cstheme="minorHAnsi"/>
          <w:sz w:val="22"/>
        </w:rPr>
        <w:t xml:space="preserve">henever reminders for non-compliance of material terms and conditions of loan are sent to borrowers, the applicable penal charges shall be communicated. Any instance of levy of penal charges and the reason therefore shall also be communicated. </w:t>
      </w:r>
    </w:p>
    <w:p w14:paraId="2C97DE31" w14:textId="77777777" w:rsidR="00C774BA" w:rsidRPr="00A3324B" w:rsidRDefault="00C774BA" w:rsidP="00C774BA">
      <w:pPr>
        <w:spacing w:after="0" w:line="240" w:lineRule="auto"/>
        <w:rPr>
          <w:rFonts w:asciiTheme="minorHAnsi" w:hAnsiTheme="minorHAnsi" w:cstheme="minorHAnsi"/>
          <w:sz w:val="22"/>
        </w:rPr>
      </w:pPr>
    </w:p>
    <w:p w14:paraId="287368CD" w14:textId="4CF96C59" w:rsidR="00E46E86" w:rsidRPr="004F50D4" w:rsidRDefault="00E46E86" w:rsidP="004F50D4">
      <w:pPr>
        <w:pStyle w:val="ListParagraph"/>
        <w:numPr>
          <w:ilvl w:val="1"/>
          <w:numId w:val="14"/>
        </w:numPr>
        <w:spacing w:after="0" w:line="240" w:lineRule="auto"/>
        <w:ind w:left="1440" w:hanging="720"/>
        <w:rPr>
          <w:rFonts w:asciiTheme="minorHAnsi" w:hAnsiTheme="minorHAnsi" w:cstheme="minorHAnsi"/>
          <w:sz w:val="22"/>
        </w:rPr>
      </w:pPr>
      <w:bookmarkStart w:id="14" w:name="_Toc49708986"/>
      <w:r w:rsidRPr="004F50D4">
        <w:rPr>
          <w:rFonts w:asciiTheme="minorHAnsi" w:hAnsiTheme="minorHAnsi" w:cstheme="minorHAnsi"/>
          <w:sz w:val="22"/>
        </w:rPr>
        <w:t>Regulatory Expectations</w:t>
      </w:r>
      <w:bookmarkEnd w:id="14"/>
      <w:r w:rsidR="00D56BAC" w:rsidRPr="004F50D4">
        <w:rPr>
          <w:rFonts w:asciiTheme="minorHAnsi" w:hAnsiTheme="minorHAnsi" w:cstheme="minorHAnsi"/>
          <w:sz w:val="22"/>
        </w:rPr>
        <w:t xml:space="preserve"> </w:t>
      </w:r>
      <w:r w:rsidR="00EC7923" w:rsidRPr="004F50D4">
        <w:rPr>
          <w:rFonts w:asciiTheme="minorHAnsi" w:hAnsiTheme="minorHAnsi" w:cstheme="minorHAnsi"/>
          <w:sz w:val="22"/>
        </w:rPr>
        <w:t>–</w:t>
      </w:r>
      <w:r w:rsidR="00D56BAC" w:rsidRPr="004F50D4">
        <w:rPr>
          <w:rFonts w:asciiTheme="minorHAnsi" w:hAnsiTheme="minorHAnsi" w:cstheme="minorHAnsi"/>
          <w:sz w:val="22"/>
        </w:rPr>
        <w:t xml:space="preserve"> </w:t>
      </w:r>
      <w:r w:rsidR="00EC7923" w:rsidRPr="004F50D4">
        <w:rPr>
          <w:rFonts w:asciiTheme="minorHAnsi" w:hAnsiTheme="minorHAnsi" w:cstheme="minorHAnsi"/>
          <w:sz w:val="22"/>
        </w:rPr>
        <w:t xml:space="preserve">REs are required by the Regulation </w:t>
      </w:r>
      <w:r w:rsidR="00D56BAC" w:rsidRPr="004F50D4">
        <w:rPr>
          <w:rFonts w:asciiTheme="minorHAnsi" w:hAnsiTheme="minorHAnsi" w:cstheme="minorHAnsi"/>
          <w:sz w:val="22"/>
        </w:rPr>
        <w:t>to formulate a transparent policy for penal charge</w:t>
      </w:r>
      <w:r w:rsidR="00EC7923" w:rsidRPr="004F50D4">
        <w:rPr>
          <w:rFonts w:asciiTheme="minorHAnsi" w:hAnsiTheme="minorHAnsi" w:cstheme="minorHAnsi"/>
          <w:sz w:val="22"/>
        </w:rPr>
        <w:t xml:space="preserve">s </w:t>
      </w:r>
      <w:r w:rsidR="00D56BAC" w:rsidRPr="004F50D4">
        <w:rPr>
          <w:rFonts w:asciiTheme="minorHAnsi" w:hAnsiTheme="minorHAnsi" w:cstheme="minorHAnsi"/>
          <w:sz w:val="22"/>
        </w:rPr>
        <w:t>with the approval of their Board of Directors</w:t>
      </w:r>
      <w:r w:rsidR="00C774BA">
        <w:rPr>
          <w:rFonts w:asciiTheme="minorHAnsi" w:hAnsiTheme="minorHAnsi" w:cstheme="minorHAnsi"/>
          <w:sz w:val="22"/>
        </w:rPr>
        <w:t xml:space="preserve"> </w:t>
      </w:r>
      <w:r w:rsidR="00C774BA" w:rsidRPr="00011D56">
        <w:rPr>
          <w:rFonts w:asciiTheme="minorHAnsi" w:hAnsiTheme="minorHAnsi" w:cstheme="minorHAnsi"/>
          <w:sz w:val="22"/>
        </w:rPr>
        <w:t>(or equivalent</w:t>
      </w:r>
      <w:proofErr w:type="gramStart"/>
      <w:r w:rsidR="00C774BA" w:rsidRPr="00011D56">
        <w:rPr>
          <w:rFonts w:asciiTheme="minorHAnsi" w:hAnsiTheme="minorHAnsi" w:cstheme="minorHAnsi"/>
          <w:sz w:val="22"/>
        </w:rPr>
        <w:t>).</w:t>
      </w:r>
      <w:r w:rsidR="00D56BAC" w:rsidRPr="004F50D4">
        <w:rPr>
          <w:rFonts w:asciiTheme="minorHAnsi" w:hAnsiTheme="minorHAnsi" w:cstheme="minorHAnsi"/>
          <w:sz w:val="22"/>
        </w:rPr>
        <w:t>.</w:t>
      </w:r>
      <w:proofErr w:type="gramEnd"/>
    </w:p>
    <w:p w14:paraId="32FE3760" w14:textId="77777777" w:rsidR="00D56BAC" w:rsidRPr="004F50D4" w:rsidRDefault="00D56BAC" w:rsidP="004F50D4">
      <w:pPr>
        <w:pStyle w:val="ListParagraph"/>
        <w:spacing w:after="0" w:line="240" w:lineRule="auto"/>
        <w:ind w:left="792" w:firstLine="0"/>
        <w:rPr>
          <w:rFonts w:asciiTheme="minorHAnsi" w:hAnsiTheme="minorHAnsi" w:cstheme="minorHAnsi"/>
          <w:sz w:val="22"/>
        </w:rPr>
      </w:pPr>
    </w:p>
    <w:p w14:paraId="6840F8AB" w14:textId="2854F05E" w:rsidR="00A7602B" w:rsidRPr="004F50D4" w:rsidRDefault="00E46E86" w:rsidP="004F50D4">
      <w:pPr>
        <w:pStyle w:val="Heading1"/>
        <w:numPr>
          <w:ilvl w:val="0"/>
          <w:numId w:val="12"/>
        </w:numPr>
        <w:spacing w:after="0" w:line="240" w:lineRule="auto"/>
        <w:ind w:left="720" w:hanging="720"/>
        <w:contextualSpacing/>
        <w:rPr>
          <w:rFonts w:asciiTheme="minorHAnsi" w:hAnsiTheme="minorHAnsi" w:cstheme="minorHAnsi"/>
          <w:sz w:val="22"/>
        </w:rPr>
      </w:pPr>
      <w:bookmarkStart w:id="15" w:name="_Toc49708987"/>
      <w:bookmarkStart w:id="16" w:name="_Toc155014758"/>
      <w:r w:rsidRPr="004F50D4">
        <w:rPr>
          <w:rFonts w:asciiTheme="minorHAnsi" w:hAnsiTheme="minorHAnsi" w:cstheme="minorHAnsi"/>
          <w:sz w:val="22"/>
        </w:rPr>
        <w:t>Internal Supervision and Review</w:t>
      </w:r>
      <w:bookmarkEnd w:id="15"/>
      <w:bookmarkEnd w:id="16"/>
    </w:p>
    <w:p w14:paraId="00C58B08" w14:textId="77777777" w:rsidR="00A7602B" w:rsidRPr="004F50D4" w:rsidRDefault="00A7602B" w:rsidP="004F50D4">
      <w:pPr>
        <w:pStyle w:val="ListParagraph"/>
        <w:spacing w:after="0" w:line="240" w:lineRule="auto"/>
        <w:ind w:left="1440" w:firstLine="0"/>
        <w:rPr>
          <w:rFonts w:asciiTheme="minorHAnsi" w:hAnsiTheme="minorHAnsi" w:cstheme="minorHAnsi"/>
          <w:sz w:val="22"/>
        </w:rPr>
      </w:pPr>
    </w:p>
    <w:p w14:paraId="692F0F14" w14:textId="47AB4E01" w:rsidR="00E46E86" w:rsidRPr="004F50D4" w:rsidRDefault="00E46E86" w:rsidP="004F50D4">
      <w:pPr>
        <w:pStyle w:val="ListParagraph"/>
        <w:numPr>
          <w:ilvl w:val="1"/>
          <w:numId w:val="12"/>
        </w:num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This Policy document shall be reviewed at least once every year</w:t>
      </w:r>
      <w:r w:rsidR="00940A39" w:rsidRPr="004F50D4">
        <w:rPr>
          <w:rFonts w:asciiTheme="minorHAnsi" w:hAnsiTheme="minorHAnsi" w:cstheme="minorHAnsi"/>
          <w:sz w:val="22"/>
        </w:rPr>
        <w:t xml:space="preserve">, or sooner as may be </w:t>
      </w:r>
      <w:proofErr w:type="gramStart"/>
      <w:r w:rsidR="00940A39" w:rsidRPr="004F50D4">
        <w:rPr>
          <w:rFonts w:asciiTheme="minorHAnsi" w:hAnsiTheme="minorHAnsi" w:cstheme="minorHAnsi"/>
          <w:sz w:val="22"/>
        </w:rPr>
        <w:t xml:space="preserve">required, </w:t>
      </w:r>
      <w:r w:rsidRPr="004F50D4">
        <w:rPr>
          <w:rFonts w:asciiTheme="minorHAnsi" w:hAnsiTheme="minorHAnsi" w:cstheme="minorHAnsi"/>
          <w:sz w:val="22"/>
        </w:rPr>
        <w:t xml:space="preserve"> and</w:t>
      </w:r>
      <w:proofErr w:type="gramEnd"/>
      <w:r w:rsidRPr="004F50D4">
        <w:rPr>
          <w:rFonts w:asciiTheme="minorHAnsi" w:hAnsiTheme="minorHAnsi" w:cstheme="minorHAnsi"/>
          <w:sz w:val="22"/>
        </w:rPr>
        <w:t xml:space="preserve"> </w:t>
      </w:r>
      <w:r w:rsidR="00EC7923" w:rsidRPr="004F50D4">
        <w:rPr>
          <w:rFonts w:asciiTheme="minorHAnsi" w:hAnsiTheme="minorHAnsi" w:cstheme="minorHAnsi"/>
          <w:sz w:val="22"/>
        </w:rPr>
        <w:t xml:space="preserve">tabled before the </w:t>
      </w:r>
      <w:r w:rsidR="00485C1F">
        <w:rPr>
          <w:rFonts w:asciiTheme="minorHAnsi" w:hAnsiTheme="minorHAnsi" w:cstheme="minorHAnsi"/>
          <w:sz w:val="22"/>
        </w:rPr>
        <w:t>Board of Directors</w:t>
      </w:r>
      <w:r w:rsidR="00C774BA">
        <w:rPr>
          <w:rFonts w:asciiTheme="minorHAnsi" w:hAnsiTheme="minorHAnsi" w:cstheme="minorHAnsi"/>
          <w:sz w:val="22"/>
        </w:rPr>
        <w:t xml:space="preserve"> of BILIL</w:t>
      </w:r>
      <w:r w:rsidRPr="004F50D4">
        <w:rPr>
          <w:rFonts w:asciiTheme="minorHAnsi" w:hAnsiTheme="minorHAnsi" w:cstheme="minorHAnsi"/>
          <w:sz w:val="22"/>
        </w:rPr>
        <w:t>.</w:t>
      </w:r>
    </w:p>
    <w:p w14:paraId="34C86EED" w14:textId="77777777" w:rsidR="00E46E86" w:rsidRPr="004F50D4" w:rsidRDefault="00E46E86" w:rsidP="004F50D4">
      <w:pPr>
        <w:spacing w:after="0" w:line="240" w:lineRule="auto"/>
        <w:ind w:left="0" w:firstLine="0"/>
        <w:rPr>
          <w:rFonts w:asciiTheme="minorHAnsi" w:hAnsiTheme="minorHAnsi" w:cstheme="minorHAnsi"/>
          <w:sz w:val="22"/>
        </w:rPr>
      </w:pPr>
    </w:p>
    <w:p w14:paraId="3D5D813A" w14:textId="4B309891" w:rsidR="00E46E86" w:rsidRPr="004F50D4" w:rsidRDefault="00C80965" w:rsidP="004F50D4">
      <w:pPr>
        <w:pStyle w:val="Heading1"/>
        <w:numPr>
          <w:ilvl w:val="0"/>
          <w:numId w:val="12"/>
        </w:numPr>
        <w:spacing w:after="0" w:line="240" w:lineRule="auto"/>
        <w:ind w:left="720" w:hanging="720"/>
        <w:contextualSpacing/>
        <w:rPr>
          <w:rFonts w:asciiTheme="minorHAnsi" w:hAnsiTheme="minorHAnsi" w:cstheme="minorHAnsi"/>
          <w:b w:val="0"/>
          <w:sz w:val="22"/>
        </w:rPr>
      </w:pPr>
      <w:bookmarkStart w:id="17" w:name="_Toc155014759"/>
      <w:bookmarkStart w:id="18" w:name="_Toc49708988"/>
      <w:r w:rsidRPr="004F50D4">
        <w:rPr>
          <w:rFonts w:asciiTheme="minorHAnsi" w:hAnsiTheme="minorHAnsi" w:cstheme="minorHAnsi"/>
          <w:sz w:val="22"/>
        </w:rPr>
        <w:t xml:space="preserve">Scope and </w:t>
      </w:r>
      <w:r w:rsidR="002365D7" w:rsidRPr="004F50D4">
        <w:rPr>
          <w:rFonts w:asciiTheme="minorHAnsi" w:hAnsiTheme="minorHAnsi" w:cstheme="minorHAnsi"/>
          <w:sz w:val="22"/>
        </w:rPr>
        <w:t xml:space="preserve">penal </w:t>
      </w:r>
      <w:r w:rsidRPr="004F50D4">
        <w:rPr>
          <w:rFonts w:asciiTheme="minorHAnsi" w:hAnsiTheme="minorHAnsi" w:cstheme="minorHAnsi"/>
          <w:sz w:val="22"/>
        </w:rPr>
        <w:t>charges</w:t>
      </w:r>
      <w:bookmarkEnd w:id="17"/>
      <w:r w:rsidRPr="004F50D4">
        <w:rPr>
          <w:rFonts w:asciiTheme="minorHAnsi" w:hAnsiTheme="minorHAnsi" w:cstheme="minorHAnsi"/>
          <w:sz w:val="22"/>
        </w:rPr>
        <w:t xml:space="preserve"> </w:t>
      </w:r>
      <w:bookmarkEnd w:id="18"/>
    </w:p>
    <w:p w14:paraId="2D9DB246" w14:textId="77777777" w:rsidR="00E46E86" w:rsidRPr="004F50D4" w:rsidRDefault="00E46E86" w:rsidP="004F50D4">
      <w:pPr>
        <w:spacing w:after="0" w:line="240" w:lineRule="auto"/>
        <w:ind w:left="720" w:hanging="720"/>
        <w:rPr>
          <w:rFonts w:asciiTheme="minorHAnsi" w:hAnsiTheme="minorHAnsi" w:cstheme="minorHAnsi"/>
          <w:b/>
          <w:sz w:val="22"/>
        </w:rPr>
      </w:pPr>
    </w:p>
    <w:p w14:paraId="31B1807D" w14:textId="6534B1D6" w:rsidR="002B4FAD" w:rsidRPr="000C1C2A" w:rsidRDefault="00586186" w:rsidP="001A6F4E">
      <w:pPr>
        <w:pStyle w:val="ListParagraph"/>
        <w:numPr>
          <w:ilvl w:val="1"/>
          <w:numId w:val="12"/>
        </w:numPr>
        <w:spacing w:after="0" w:line="240" w:lineRule="auto"/>
        <w:ind w:left="1440" w:hanging="720"/>
        <w:rPr>
          <w:rFonts w:asciiTheme="minorHAnsi" w:hAnsiTheme="minorHAnsi" w:cstheme="minorHAnsi"/>
          <w:b/>
          <w:sz w:val="22"/>
        </w:rPr>
      </w:pPr>
      <w:r w:rsidRPr="000C1C2A">
        <w:rPr>
          <w:rFonts w:asciiTheme="minorHAnsi" w:hAnsiTheme="minorHAnsi" w:cstheme="minorHAnsi"/>
          <w:bCs/>
          <w:sz w:val="22"/>
        </w:rPr>
        <w:t xml:space="preserve">Scope: </w:t>
      </w:r>
      <w:r w:rsidR="001A6F4E" w:rsidRPr="000C1C2A">
        <w:rPr>
          <w:rFonts w:asciiTheme="minorHAnsi" w:hAnsiTheme="minorHAnsi" w:cstheme="minorHAnsi"/>
          <w:bCs/>
          <w:sz w:val="22"/>
        </w:rPr>
        <w:t xml:space="preserve">Penal or default charges will be applicable as follows: </w:t>
      </w:r>
    </w:p>
    <w:p w14:paraId="4DB91468" w14:textId="77777777" w:rsidR="002B4FAD" w:rsidRPr="004F50D4" w:rsidRDefault="002B4FAD" w:rsidP="004F50D4">
      <w:pPr>
        <w:pStyle w:val="ListParagraph"/>
        <w:spacing w:after="0" w:line="240" w:lineRule="auto"/>
        <w:ind w:hanging="720"/>
        <w:rPr>
          <w:rFonts w:asciiTheme="minorHAnsi" w:hAnsiTheme="minorHAnsi" w:cstheme="minorHAnsi"/>
          <w:bCs/>
          <w:sz w:val="22"/>
        </w:rPr>
      </w:pPr>
    </w:p>
    <w:tbl>
      <w:tblPr>
        <w:tblW w:w="0" w:type="auto"/>
        <w:tblInd w:w="1430" w:type="dxa"/>
        <w:tblCellMar>
          <w:left w:w="0" w:type="dxa"/>
          <w:right w:w="0" w:type="dxa"/>
        </w:tblCellMar>
        <w:tblLook w:val="04A0" w:firstRow="1" w:lastRow="0" w:firstColumn="1" w:lastColumn="0" w:noHBand="0" w:noVBand="1"/>
      </w:tblPr>
      <w:tblGrid>
        <w:gridCol w:w="3026"/>
        <w:gridCol w:w="4336"/>
      </w:tblGrid>
      <w:tr w:rsidR="001A6F4E" w:rsidRPr="004F50D4" w14:paraId="7D283808" w14:textId="77777777" w:rsidTr="00494188">
        <w:trPr>
          <w:trHeight w:val="340"/>
        </w:trPr>
        <w:tc>
          <w:tcPr>
            <w:tcW w:w="3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61CD1" w14:textId="77777777" w:rsidR="001A6F4E" w:rsidRPr="00494188" w:rsidRDefault="001A6F4E" w:rsidP="000F69E9">
            <w:pPr>
              <w:spacing w:after="0" w:line="240" w:lineRule="auto"/>
              <w:ind w:left="-19" w:firstLine="19"/>
              <w:jc w:val="center"/>
              <w:rPr>
                <w:rFonts w:asciiTheme="minorHAnsi" w:eastAsiaTheme="minorHAnsi" w:hAnsiTheme="minorHAnsi" w:cstheme="minorHAnsi"/>
                <w:b/>
                <w:color w:val="auto"/>
                <w:sz w:val="22"/>
                <w:szCs w:val="20"/>
              </w:rPr>
            </w:pPr>
            <w:r w:rsidRPr="00494188">
              <w:rPr>
                <w:rFonts w:asciiTheme="minorHAnsi" w:hAnsiTheme="minorHAnsi" w:cstheme="minorHAnsi"/>
                <w:b/>
                <w:sz w:val="22"/>
                <w:szCs w:val="20"/>
              </w:rPr>
              <w:t>Facility category</w:t>
            </w:r>
          </w:p>
        </w:tc>
        <w:tc>
          <w:tcPr>
            <w:tcW w:w="4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1C84B8" w14:textId="77777777" w:rsidR="001A6F4E" w:rsidRPr="00494188" w:rsidRDefault="001A6F4E" w:rsidP="000F69E9">
            <w:pPr>
              <w:spacing w:after="0" w:line="240" w:lineRule="auto"/>
              <w:ind w:left="-16" w:firstLine="16"/>
              <w:jc w:val="center"/>
              <w:rPr>
                <w:rFonts w:asciiTheme="minorHAnsi" w:hAnsiTheme="minorHAnsi" w:cstheme="minorHAnsi"/>
                <w:b/>
                <w:sz w:val="22"/>
                <w:szCs w:val="20"/>
              </w:rPr>
            </w:pPr>
            <w:r w:rsidRPr="00494188">
              <w:rPr>
                <w:rFonts w:asciiTheme="minorHAnsi" w:hAnsiTheme="minorHAnsi" w:cstheme="minorHAnsi"/>
                <w:b/>
                <w:sz w:val="22"/>
                <w:szCs w:val="20"/>
              </w:rPr>
              <w:t xml:space="preserve">Material terms for </w:t>
            </w:r>
          </w:p>
          <w:p w14:paraId="411C7E5B" w14:textId="77777777" w:rsidR="001A6F4E" w:rsidRPr="00494188" w:rsidRDefault="001A6F4E" w:rsidP="000F69E9">
            <w:pPr>
              <w:spacing w:after="0" w:line="240" w:lineRule="auto"/>
              <w:jc w:val="center"/>
              <w:rPr>
                <w:rFonts w:asciiTheme="minorHAnsi" w:hAnsiTheme="minorHAnsi" w:cstheme="minorHAnsi"/>
                <w:b/>
                <w:sz w:val="22"/>
                <w:szCs w:val="20"/>
              </w:rPr>
            </w:pPr>
            <w:r w:rsidRPr="00494188">
              <w:rPr>
                <w:rFonts w:asciiTheme="minorHAnsi" w:hAnsiTheme="minorHAnsi" w:cstheme="minorHAnsi"/>
                <w:b/>
                <w:sz w:val="22"/>
                <w:szCs w:val="20"/>
              </w:rPr>
              <w:t>penal charge applicability</w:t>
            </w:r>
          </w:p>
        </w:tc>
      </w:tr>
      <w:tr w:rsidR="001A6F4E" w:rsidRPr="004F50D4" w14:paraId="0E09E3DC" w14:textId="77777777" w:rsidTr="00494188">
        <w:trPr>
          <w:trHeight w:val="655"/>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A75FB" w14:textId="77777777" w:rsidR="001A6F4E" w:rsidRPr="00494188" w:rsidRDefault="001A6F4E" w:rsidP="000F69E9">
            <w:pPr>
              <w:spacing w:after="0" w:line="240" w:lineRule="auto"/>
              <w:ind w:left="71" w:firstLine="0"/>
              <w:jc w:val="left"/>
              <w:rPr>
                <w:rFonts w:asciiTheme="minorHAnsi" w:hAnsiTheme="minorHAnsi" w:cstheme="minorHAnsi"/>
                <w:sz w:val="22"/>
                <w:szCs w:val="20"/>
              </w:rPr>
            </w:pPr>
            <w:r w:rsidRPr="00494188">
              <w:rPr>
                <w:rFonts w:asciiTheme="minorHAnsi" w:hAnsiTheme="minorHAnsi" w:cstheme="minorHAnsi"/>
                <w:sz w:val="22"/>
                <w:szCs w:val="20"/>
              </w:rPr>
              <w:t>All types of fund-based facilities</w:t>
            </w:r>
          </w:p>
        </w:tc>
        <w:tc>
          <w:tcPr>
            <w:tcW w:w="4336" w:type="dxa"/>
            <w:tcBorders>
              <w:top w:val="nil"/>
              <w:left w:val="nil"/>
              <w:bottom w:val="single" w:sz="8" w:space="0" w:color="auto"/>
              <w:right w:val="single" w:sz="8" w:space="0" w:color="auto"/>
            </w:tcBorders>
            <w:tcMar>
              <w:top w:w="0" w:type="dxa"/>
              <w:left w:w="108" w:type="dxa"/>
              <w:bottom w:w="0" w:type="dxa"/>
              <w:right w:w="108" w:type="dxa"/>
            </w:tcMar>
            <w:hideMark/>
          </w:tcPr>
          <w:p w14:paraId="458CE763" w14:textId="77777777" w:rsidR="001A6F4E" w:rsidRPr="00494188" w:rsidRDefault="001A6F4E" w:rsidP="000F69E9">
            <w:pPr>
              <w:spacing w:after="0" w:line="240" w:lineRule="auto"/>
              <w:ind w:left="0" w:firstLine="0"/>
              <w:jc w:val="left"/>
              <w:rPr>
                <w:rFonts w:asciiTheme="minorHAnsi" w:eastAsia="Times New Roman" w:hAnsiTheme="minorHAnsi" w:cstheme="minorHAnsi"/>
                <w:sz w:val="22"/>
                <w:szCs w:val="20"/>
              </w:rPr>
            </w:pPr>
            <w:r w:rsidRPr="00494188">
              <w:rPr>
                <w:rFonts w:asciiTheme="minorHAnsi" w:eastAsia="Times New Roman" w:hAnsiTheme="minorHAnsi" w:cstheme="minorHAnsi"/>
                <w:sz w:val="22"/>
                <w:szCs w:val="20"/>
              </w:rPr>
              <w:t>Overdue amounts (principal and interest</w:t>
            </w:r>
            <w:proofErr w:type="gramStart"/>
            <w:r w:rsidRPr="00494188">
              <w:rPr>
                <w:rFonts w:asciiTheme="minorHAnsi" w:eastAsia="Times New Roman" w:hAnsiTheme="minorHAnsi" w:cstheme="minorHAnsi"/>
                <w:sz w:val="22"/>
                <w:szCs w:val="20"/>
              </w:rPr>
              <w:t>);</w:t>
            </w:r>
            <w:proofErr w:type="gramEnd"/>
          </w:p>
          <w:p w14:paraId="4995AC90" w14:textId="77777777" w:rsidR="001A6F4E" w:rsidRPr="00494188" w:rsidRDefault="001A6F4E" w:rsidP="000F69E9">
            <w:pPr>
              <w:spacing w:after="0" w:line="240" w:lineRule="auto"/>
              <w:ind w:left="0" w:firstLine="0"/>
              <w:jc w:val="left"/>
              <w:rPr>
                <w:rFonts w:asciiTheme="minorHAnsi" w:eastAsia="Times New Roman" w:hAnsiTheme="minorHAnsi" w:cstheme="minorHAnsi"/>
                <w:sz w:val="22"/>
                <w:szCs w:val="20"/>
              </w:rPr>
            </w:pPr>
          </w:p>
        </w:tc>
      </w:tr>
    </w:tbl>
    <w:p w14:paraId="72D65949" w14:textId="77777777" w:rsidR="001A6F4E" w:rsidRPr="004F50D4" w:rsidRDefault="001A6F4E" w:rsidP="004F50D4">
      <w:pPr>
        <w:pStyle w:val="ListParagraph"/>
        <w:spacing w:after="0" w:line="240" w:lineRule="auto"/>
        <w:ind w:firstLine="720"/>
        <w:rPr>
          <w:rFonts w:asciiTheme="minorHAnsi" w:hAnsiTheme="minorHAnsi" w:cstheme="minorHAnsi"/>
          <w:bCs/>
          <w:sz w:val="22"/>
        </w:rPr>
      </w:pPr>
    </w:p>
    <w:p w14:paraId="4A467EAF" w14:textId="6AAC31EF" w:rsidR="002F0F24" w:rsidRPr="00DD7944" w:rsidRDefault="002F0F24" w:rsidP="00DD7944">
      <w:pPr>
        <w:spacing w:after="0" w:line="240" w:lineRule="auto"/>
        <w:ind w:left="0" w:firstLine="0"/>
        <w:rPr>
          <w:rFonts w:asciiTheme="minorHAnsi" w:hAnsiTheme="minorHAnsi" w:cstheme="minorHAnsi"/>
          <w:bCs/>
          <w:sz w:val="22"/>
        </w:rPr>
      </w:pPr>
    </w:p>
    <w:p w14:paraId="797D5969" w14:textId="6FB25852" w:rsidR="002B4FAD" w:rsidRPr="004F50D4" w:rsidRDefault="00586186" w:rsidP="004F50D4">
      <w:pPr>
        <w:pStyle w:val="ListParagraph"/>
        <w:numPr>
          <w:ilvl w:val="1"/>
          <w:numId w:val="12"/>
        </w:numPr>
        <w:spacing w:after="0" w:line="240" w:lineRule="auto"/>
        <w:ind w:left="1440" w:hanging="720"/>
        <w:rPr>
          <w:rFonts w:asciiTheme="minorHAnsi" w:hAnsiTheme="minorHAnsi" w:cstheme="minorHAnsi"/>
          <w:b/>
          <w:sz w:val="22"/>
        </w:rPr>
      </w:pPr>
      <w:r w:rsidRPr="004F50D4">
        <w:rPr>
          <w:rFonts w:asciiTheme="minorHAnsi" w:hAnsiTheme="minorHAnsi" w:cstheme="minorHAnsi"/>
          <w:b/>
          <w:sz w:val="22"/>
        </w:rPr>
        <w:t>Non-repayment of principal</w:t>
      </w:r>
      <w:r w:rsidR="007920E3" w:rsidRPr="004F50D4">
        <w:rPr>
          <w:rFonts w:asciiTheme="minorHAnsi" w:hAnsiTheme="minorHAnsi" w:cstheme="minorHAnsi"/>
          <w:b/>
          <w:sz w:val="22"/>
        </w:rPr>
        <w:t xml:space="preserve"> and/or interest</w:t>
      </w:r>
      <w:r w:rsidRPr="004F50D4">
        <w:rPr>
          <w:rFonts w:asciiTheme="minorHAnsi" w:hAnsiTheme="minorHAnsi" w:cstheme="minorHAnsi"/>
          <w:b/>
          <w:sz w:val="22"/>
        </w:rPr>
        <w:t xml:space="preserve"> amount on due date</w:t>
      </w:r>
      <w:r w:rsidR="00AB3E37" w:rsidRPr="004F50D4">
        <w:rPr>
          <w:rFonts w:asciiTheme="minorHAnsi" w:hAnsiTheme="minorHAnsi" w:cstheme="minorHAnsi"/>
          <w:b/>
          <w:sz w:val="22"/>
        </w:rPr>
        <w:t xml:space="preserve">:  </w:t>
      </w:r>
    </w:p>
    <w:p w14:paraId="27F325D2" w14:textId="77777777" w:rsidR="002F0F24" w:rsidRPr="004F50D4" w:rsidRDefault="002F0F24" w:rsidP="004F50D4">
      <w:pPr>
        <w:pStyle w:val="ListParagraph"/>
        <w:spacing w:after="0" w:line="240" w:lineRule="auto"/>
        <w:ind w:hanging="720"/>
        <w:rPr>
          <w:rFonts w:asciiTheme="minorHAnsi" w:hAnsiTheme="minorHAnsi" w:cstheme="minorHAnsi"/>
          <w:bCs/>
          <w:sz w:val="22"/>
        </w:rPr>
      </w:pPr>
    </w:p>
    <w:p w14:paraId="16B3FD13" w14:textId="4F28DFA6" w:rsidR="002B4FAD" w:rsidRPr="004F50D4" w:rsidRDefault="002B4FAD" w:rsidP="004F50D4">
      <w:pPr>
        <w:spacing w:after="0" w:line="240" w:lineRule="auto"/>
        <w:ind w:left="1440" w:firstLine="0"/>
        <w:rPr>
          <w:rFonts w:asciiTheme="minorHAnsi" w:hAnsiTheme="minorHAnsi" w:cstheme="minorHAnsi"/>
          <w:bCs/>
          <w:sz w:val="22"/>
        </w:rPr>
      </w:pPr>
      <w:r w:rsidRPr="004F50D4">
        <w:rPr>
          <w:rFonts w:asciiTheme="minorHAnsi" w:hAnsiTheme="minorHAnsi" w:cstheme="minorHAnsi"/>
          <w:bCs/>
          <w:sz w:val="22"/>
        </w:rPr>
        <w:t xml:space="preserve">Penal charges will be computed as 2% p.a. applied on the overdue amount for the delayed period </w:t>
      </w:r>
      <w:proofErr w:type="gramStart"/>
      <w:r w:rsidRPr="004F50D4">
        <w:rPr>
          <w:rFonts w:asciiTheme="minorHAnsi" w:hAnsiTheme="minorHAnsi" w:cstheme="minorHAnsi"/>
          <w:bCs/>
          <w:sz w:val="22"/>
        </w:rPr>
        <w:t>i.e.</w:t>
      </w:r>
      <w:proofErr w:type="gramEnd"/>
      <w:r w:rsidRPr="004F50D4">
        <w:rPr>
          <w:rFonts w:asciiTheme="minorHAnsi" w:hAnsiTheme="minorHAnsi" w:cstheme="minorHAnsi"/>
          <w:bCs/>
          <w:sz w:val="22"/>
        </w:rPr>
        <w:t xml:space="preserve"> from the due date up to the date of actual payment. </w:t>
      </w:r>
    </w:p>
    <w:p w14:paraId="1E61C05B" w14:textId="79BED915" w:rsidR="00A3324B" w:rsidRDefault="00A3324B" w:rsidP="00A3324B">
      <w:pPr>
        <w:spacing w:after="0" w:line="240" w:lineRule="auto"/>
        <w:ind w:left="0" w:firstLine="0"/>
        <w:rPr>
          <w:rFonts w:asciiTheme="minorHAnsi" w:hAnsiTheme="minorHAnsi" w:cstheme="minorHAnsi"/>
          <w:bCs/>
          <w:sz w:val="22"/>
        </w:rPr>
      </w:pPr>
    </w:p>
    <w:p w14:paraId="2F40C6C7" w14:textId="3460C132" w:rsidR="000A0000" w:rsidRDefault="000A0000" w:rsidP="004F50D4">
      <w:pPr>
        <w:pStyle w:val="ListParagraph"/>
        <w:numPr>
          <w:ilvl w:val="1"/>
          <w:numId w:val="12"/>
        </w:numPr>
        <w:spacing w:after="0" w:line="240" w:lineRule="auto"/>
        <w:ind w:left="1440" w:hanging="720"/>
        <w:rPr>
          <w:rFonts w:asciiTheme="minorHAnsi" w:hAnsiTheme="minorHAnsi" w:cstheme="minorHAnsi"/>
          <w:bCs/>
          <w:sz w:val="22"/>
        </w:rPr>
      </w:pPr>
      <w:r>
        <w:rPr>
          <w:rFonts w:asciiTheme="minorHAnsi" w:hAnsiTheme="minorHAnsi" w:cstheme="minorHAnsi"/>
          <w:sz w:val="22"/>
        </w:rPr>
        <w:t>P</w:t>
      </w:r>
      <w:r w:rsidRPr="00011D56">
        <w:rPr>
          <w:rFonts w:asciiTheme="minorHAnsi" w:hAnsiTheme="minorHAnsi" w:cstheme="minorHAnsi"/>
          <w:sz w:val="22"/>
        </w:rPr>
        <w:t>enalty, if any, on th</w:t>
      </w:r>
      <w:r>
        <w:rPr>
          <w:rFonts w:asciiTheme="minorHAnsi" w:hAnsiTheme="minorHAnsi" w:cstheme="minorHAnsi"/>
          <w:sz w:val="22"/>
        </w:rPr>
        <w:t xml:space="preserve">e </w:t>
      </w:r>
      <w:r w:rsidRPr="00011D56">
        <w:rPr>
          <w:rFonts w:asciiTheme="minorHAnsi" w:hAnsiTheme="minorHAnsi" w:cstheme="minorHAnsi"/>
          <w:sz w:val="22"/>
        </w:rPr>
        <w:t xml:space="preserve">funded facility on account of non-repayment by the borrower within the due date </w:t>
      </w:r>
      <w:r>
        <w:rPr>
          <w:rFonts w:asciiTheme="minorHAnsi" w:hAnsiTheme="minorHAnsi" w:cstheme="minorHAnsi"/>
          <w:sz w:val="22"/>
        </w:rPr>
        <w:t xml:space="preserve">will </w:t>
      </w:r>
      <w:r w:rsidRPr="00011D56">
        <w:rPr>
          <w:rFonts w:asciiTheme="minorHAnsi" w:hAnsiTheme="minorHAnsi" w:cstheme="minorHAnsi"/>
          <w:sz w:val="22"/>
        </w:rPr>
        <w:t xml:space="preserve">only be levied in the form of </w:t>
      </w:r>
      <w:r>
        <w:rPr>
          <w:rFonts w:asciiTheme="minorHAnsi" w:hAnsiTheme="minorHAnsi" w:cstheme="minorHAnsi"/>
          <w:sz w:val="22"/>
        </w:rPr>
        <w:t>a penal charge</w:t>
      </w:r>
      <w:r w:rsidRPr="00011D56">
        <w:rPr>
          <w:rFonts w:asciiTheme="minorHAnsi" w:hAnsiTheme="minorHAnsi" w:cstheme="minorHAnsi"/>
          <w:sz w:val="22"/>
        </w:rPr>
        <w:t xml:space="preserve"> and not penal interest</w:t>
      </w:r>
      <w:r>
        <w:rPr>
          <w:rFonts w:asciiTheme="minorHAnsi" w:hAnsiTheme="minorHAnsi" w:cstheme="minorHAnsi"/>
          <w:sz w:val="22"/>
        </w:rPr>
        <w:t xml:space="preserve">, which will be </w:t>
      </w:r>
      <w:r w:rsidRPr="00011D56">
        <w:rPr>
          <w:rFonts w:asciiTheme="minorHAnsi" w:hAnsiTheme="minorHAnsi" w:cstheme="minorHAnsi"/>
          <w:sz w:val="22"/>
        </w:rPr>
        <w:t>described in the relevant facility docu</w:t>
      </w:r>
      <w:r w:rsidRPr="00487638">
        <w:rPr>
          <w:rFonts w:asciiTheme="minorHAnsi" w:hAnsiTheme="minorHAnsi" w:cstheme="minorHAnsi"/>
          <w:sz w:val="22"/>
        </w:rPr>
        <w:t>ment.</w:t>
      </w:r>
    </w:p>
    <w:p w14:paraId="0BD3686D" w14:textId="77777777" w:rsidR="000A0000" w:rsidRPr="000A0000" w:rsidRDefault="000A0000" w:rsidP="000A0000">
      <w:pPr>
        <w:spacing w:after="0" w:line="240" w:lineRule="auto"/>
        <w:ind w:left="720" w:firstLine="0"/>
        <w:rPr>
          <w:rFonts w:asciiTheme="minorHAnsi" w:hAnsiTheme="minorHAnsi" w:cstheme="minorHAnsi"/>
          <w:bCs/>
          <w:sz w:val="22"/>
        </w:rPr>
      </w:pPr>
    </w:p>
    <w:p w14:paraId="19824257" w14:textId="49F66026" w:rsidR="00E46E86" w:rsidRPr="004F50D4" w:rsidRDefault="00EF6CEE" w:rsidP="004F50D4">
      <w:pPr>
        <w:pStyle w:val="ListParagraph"/>
        <w:numPr>
          <w:ilvl w:val="1"/>
          <w:numId w:val="12"/>
        </w:numPr>
        <w:spacing w:after="0" w:line="240" w:lineRule="auto"/>
        <w:ind w:left="1440" w:hanging="720"/>
        <w:rPr>
          <w:rFonts w:asciiTheme="minorHAnsi" w:hAnsiTheme="minorHAnsi" w:cstheme="minorHAnsi"/>
          <w:bCs/>
          <w:sz w:val="22"/>
        </w:rPr>
      </w:pPr>
      <w:r w:rsidRPr="004F50D4">
        <w:rPr>
          <w:rFonts w:asciiTheme="minorHAnsi" w:hAnsiTheme="minorHAnsi" w:cstheme="minorHAnsi"/>
          <w:bCs/>
          <w:sz w:val="22"/>
        </w:rPr>
        <w:t>P</w:t>
      </w:r>
      <w:r w:rsidR="00E46E86" w:rsidRPr="004F50D4">
        <w:rPr>
          <w:rFonts w:asciiTheme="minorHAnsi" w:hAnsiTheme="minorHAnsi" w:cstheme="minorHAnsi"/>
          <w:bCs/>
          <w:sz w:val="22"/>
        </w:rPr>
        <w:t xml:space="preserve">enal charges shall not be levied </w:t>
      </w:r>
      <w:r w:rsidRPr="004F50D4">
        <w:rPr>
          <w:rFonts w:asciiTheme="minorHAnsi" w:hAnsiTheme="minorHAnsi" w:cstheme="minorHAnsi"/>
          <w:bCs/>
          <w:sz w:val="22"/>
        </w:rPr>
        <w:t xml:space="preserve">by </w:t>
      </w:r>
      <w:r w:rsidR="00CA0F34">
        <w:rPr>
          <w:rFonts w:asciiTheme="minorHAnsi" w:hAnsiTheme="minorHAnsi" w:cstheme="minorHAnsi"/>
          <w:bCs/>
          <w:sz w:val="22"/>
        </w:rPr>
        <w:t xml:space="preserve">BILIL </w:t>
      </w:r>
      <w:r w:rsidRPr="004F50D4">
        <w:rPr>
          <w:rFonts w:asciiTheme="minorHAnsi" w:hAnsiTheme="minorHAnsi" w:cstheme="minorHAnsi"/>
          <w:bCs/>
          <w:sz w:val="22"/>
        </w:rPr>
        <w:t xml:space="preserve">as </w:t>
      </w:r>
      <w:r w:rsidR="00E46E86" w:rsidRPr="004F50D4">
        <w:rPr>
          <w:rFonts w:asciiTheme="minorHAnsi" w:hAnsiTheme="minorHAnsi" w:cstheme="minorHAnsi"/>
          <w:bCs/>
          <w:sz w:val="22"/>
        </w:rPr>
        <w:t xml:space="preserve">‘penal interest’ and shall not be capitalized </w:t>
      </w:r>
      <w:proofErr w:type="gramStart"/>
      <w:r w:rsidR="00E46E86" w:rsidRPr="004F50D4">
        <w:rPr>
          <w:rFonts w:asciiTheme="minorHAnsi" w:hAnsiTheme="minorHAnsi" w:cstheme="minorHAnsi"/>
          <w:bCs/>
          <w:sz w:val="22"/>
        </w:rPr>
        <w:t>i.e.</w:t>
      </w:r>
      <w:proofErr w:type="gramEnd"/>
      <w:r w:rsidR="00E46E86" w:rsidRPr="004F50D4">
        <w:rPr>
          <w:rFonts w:asciiTheme="minorHAnsi" w:hAnsiTheme="minorHAnsi" w:cstheme="minorHAnsi"/>
          <w:bCs/>
          <w:sz w:val="22"/>
        </w:rPr>
        <w:t xml:space="preserve"> no further interest</w:t>
      </w:r>
      <w:r w:rsidRPr="004F50D4">
        <w:rPr>
          <w:rFonts w:asciiTheme="minorHAnsi" w:hAnsiTheme="minorHAnsi" w:cstheme="minorHAnsi"/>
          <w:bCs/>
          <w:sz w:val="22"/>
        </w:rPr>
        <w:t xml:space="preserve"> shall be</w:t>
      </w:r>
      <w:r w:rsidR="00E46E86" w:rsidRPr="004F50D4">
        <w:rPr>
          <w:rFonts w:asciiTheme="minorHAnsi" w:hAnsiTheme="minorHAnsi" w:cstheme="minorHAnsi"/>
          <w:bCs/>
          <w:sz w:val="22"/>
        </w:rPr>
        <w:t xml:space="preserve"> computed on such charges. There shall be no additional component to the rate of interest</w:t>
      </w:r>
      <w:r w:rsidRPr="004F50D4">
        <w:rPr>
          <w:rFonts w:asciiTheme="minorHAnsi" w:hAnsiTheme="minorHAnsi" w:cstheme="minorHAnsi"/>
          <w:bCs/>
          <w:sz w:val="22"/>
        </w:rPr>
        <w:t xml:space="preserve"> applied by </w:t>
      </w:r>
      <w:r w:rsidR="00CA0F34">
        <w:rPr>
          <w:rFonts w:asciiTheme="minorHAnsi" w:hAnsiTheme="minorHAnsi" w:cstheme="minorHAnsi"/>
          <w:bCs/>
          <w:sz w:val="22"/>
        </w:rPr>
        <w:t xml:space="preserve">BILIL </w:t>
      </w:r>
      <w:r w:rsidRPr="004F50D4">
        <w:rPr>
          <w:rFonts w:asciiTheme="minorHAnsi" w:hAnsiTheme="minorHAnsi" w:cstheme="minorHAnsi"/>
          <w:bCs/>
          <w:sz w:val="22"/>
        </w:rPr>
        <w:t>on a credit facility</w:t>
      </w:r>
      <w:r w:rsidR="00E46E86" w:rsidRPr="004F50D4">
        <w:rPr>
          <w:rFonts w:asciiTheme="minorHAnsi" w:hAnsiTheme="minorHAnsi" w:cstheme="minorHAnsi"/>
          <w:bCs/>
          <w:sz w:val="22"/>
        </w:rPr>
        <w:t>.</w:t>
      </w:r>
    </w:p>
    <w:p w14:paraId="1D08BB88" w14:textId="77777777" w:rsidR="008E4DCF" w:rsidRPr="004F50D4" w:rsidRDefault="008E4DCF" w:rsidP="00DD7944">
      <w:pPr>
        <w:pStyle w:val="ListParagraph"/>
        <w:spacing w:after="0" w:line="240" w:lineRule="auto"/>
        <w:ind w:left="1440" w:firstLine="0"/>
        <w:rPr>
          <w:rFonts w:asciiTheme="minorHAnsi" w:hAnsiTheme="minorHAnsi" w:cstheme="minorHAnsi"/>
          <w:bCs/>
          <w:sz w:val="22"/>
        </w:rPr>
      </w:pPr>
    </w:p>
    <w:p w14:paraId="266D6798" w14:textId="6B5A6926" w:rsidR="00AB3E37" w:rsidRPr="004F50D4" w:rsidRDefault="00CA0F34" w:rsidP="004F50D4">
      <w:pPr>
        <w:pStyle w:val="ListParagraph"/>
        <w:numPr>
          <w:ilvl w:val="1"/>
          <w:numId w:val="12"/>
        </w:numPr>
        <w:spacing w:after="0" w:line="240" w:lineRule="auto"/>
        <w:ind w:left="1440" w:hanging="720"/>
        <w:rPr>
          <w:rFonts w:asciiTheme="minorHAnsi" w:hAnsiTheme="minorHAnsi" w:cstheme="minorHAnsi"/>
          <w:bCs/>
          <w:sz w:val="22"/>
        </w:rPr>
      </w:pPr>
      <w:r>
        <w:rPr>
          <w:rFonts w:asciiTheme="minorHAnsi" w:hAnsiTheme="minorHAnsi" w:cstheme="minorHAnsi"/>
          <w:bCs/>
          <w:sz w:val="22"/>
        </w:rPr>
        <w:lastRenderedPageBreak/>
        <w:t xml:space="preserve">BILIL’s </w:t>
      </w:r>
      <w:r w:rsidR="00941A24" w:rsidRPr="004F50D4">
        <w:rPr>
          <w:rFonts w:asciiTheme="minorHAnsi" w:hAnsiTheme="minorHAnsi" w:cstheme="minorHAnsi"/>
          <w:bCs/>
          <w:sz w:val="22"/>
        </w:rPr>
        <w:t xml:space="preserve">lending terms and conditions appropriately provide for other actions which may be taken by </w:t>
      </w:r>
      <w:r>
        <w:rPr>
          <w:rFonts w:asciiTheme="minorHAnsi" w:hAnsiTheme="minorHAnsi" w:cstheme="minorHAnsi"/>
          <w:bCs/>
          <w:sz w:val="22"/>
        </w:rPr>
        <w:t xml:space="preserve">BILIL </w:t>
      </w:r>
      <w:r w:rsidR="00941A24" w:rsidRPr="004F50D4">
        <w:rPr>
          <w:rFonts w:asciiTheme="minorHAnsi" w:hAnsiTheme="minorHAnsi" w:cstheme="minorHAnsi"/>
          <w:bCs/>
          <w:sz w:val="22"/>
        </w:rPr>
        <w:t>at its discretion to inculcate a sense of credit discipline amongst borrowers; without having to levy charges which may be construed as a revenue enhancement tool</w:t>
      </w:r>
      <w:r w:rsidR="00AB3E37" w:rsidRPr="004F50D4">
        <w:rPr>
          <w:rFonts w:asciiTheme="minorHAnsi" w:hAnsiTheme="minorHAnsi" w:cstheme="minorHAnsi"/>
          <w:bCs/>
          <w:sz w:val="22"/>
        </w:rPr>
        <w:t>.</w:t>
      </w:r>
      <w:r w:rsidR="00AC634D" w:rsidRPr="004F50D4">
        <w:rPr>
          <w:rFonts w:asciiTheme="minorHAnsi" w:hAnsiTheme="minorHAnsi" w:cstheme="minorHAnsi"/>
          <w:bCs/>
          <w:sz w:val="22"/>
        </w:rPr>
        <w:t xml:space="preserve"> </w:t>
      </w:r>
    </w:p>
    <w:p w14:paraId="2C628DB1" w14:textId="77777777" w:rsidR="00221FD6" w:rsidRPr="004F50D4" w:rsidRDefault="00221FD6" w:rsidP="004F50D4">
      <w:pPr>
        <w:spacing w:after="0" w:line="240" w:lineRule="auto"/>
        <w:ind w:left="1440" w:hanging="720"/>
        <w:rPr>
          <w:rFonts w:asciiTheme="minorHAnsi" w:hAnsiTheme="minorHAnsi" w:cstheme="minorHAnsi"/>
          <w:sz w:val="22"/>
        </w:rPr>
      </w:pPr>
    </w:p>
    <w:p w14:paraId="7F95E335" w14:textId="0680D031" w:rsidR="00221FD6" w:rsidRPr="004F50D4" w:rsidRDefault="00221FD6" w:rsidP="004F50D4">
      <w:pPr>
        <w:pStyle w:val="ListParagraph"/>
        <w:numPr>
          <w:ilvl w:val="1"/>
          <w:numId w:val="12"/>
        </w:numPr>
        <w:spacing w:after="0" w:line="240" w:lineRule="auto"/>
        <w:ind w:left="1440" w:hanging="720"/>
        <w:rPr>
          <w:rFonts w:asciiTheme="minorHAnsi" w:hAnsiTheme="minorHAnsi" w:cstheme="minorHAnsi"/>
          <w:sz w:val="22"/>
        </w:rPr>
      </w:pPr>
      <w:r w:rsidRPr="004F50D4">
        <w:rPr>
          <w:rFonts w:asciiTheme="minorHAnsi" w:hAnsiTheme="minorHAnsi" w:cstheme="minorHAnsi"/>
          <w:sz w:val="22"/>
        </w:rPr>
        <w:t xml:space="preserve">Whenever reminders </w:t>
      </w:r>
      <w:r w:rsidR="00A94833" w:rsidRPr="004F50D4">
        <w:rPr>
          <w:rFonts w:asciiTheme="minorHAnsi" w:hAnsiTheme="minorHAnsi" w:cstheme="minorHAnsi"/>
          <w:sz w:val="22"/>
        </w:rPr>
        <w:t xml:space="preserve">are issued </w:t>
      </w:r>
      <w:proofErr w:type="gramStart"/>
      <w:r w:rsidR="00A94833" w:rsidRPr="004F50D4">
        <w:rPr>
          <w:rFonts w:asciiTheme="minorHAnsi" w:hAnsiTheme="minorHAnsi" w:cstheme="minorHAnsi"/>
          <w:sz w:val="22"/>
        </w:rPr>
        <w:t>with regard to</w:t>
      </w:r>
      <w:proofErr w:type="gramEnd"/>
      <w:r w:rsidR="00A94833" w:rsidRPr="004F50D4">
        <w:rPr>
          <w:rFonts w:asciiTheme="minorHAnsi" w:hAnsiTheme="minorHAnsi" w:cstheme="minorHAnsi"/>
          <w:sz w:val="22"/>
        </w:rPr>
        <w:t xml:space="preserve"> matters in which a </w:t>
      </w:r>
      <w:r w:rsidRPr="004F50D4">
        <w:rPr>
          <w:rFonts w:asciiTheme="minorHAnsi" w:hAnsiTheme="minorHAnsi" w:cstheme="minorHAnsi"/>
          <w:sz w:val="22"/>
        </w:rPr>
        <w:t>penal charge</w:t>
      </w:r>
      <w:r w:rsidR="00A94833" w:rsidRPr="004F50D4">
        <w:rPr>
          <w:rFonts w:asciiTheme="minorHAnsi" w:hAnsiTheme="minorHAnsi" w:cstheme="minorHAnsi"/>
          <w:sz w:val="22"/>
        </w:rPr>
        <w:t xml:space="preserve"> is payable, </w:t>
      </w:r>
      <w:r w:rsidRPr="004F50D4">
        <w:rPr>
          <w:rFonts w:asciiTheme="minorHAnsi" w:hAnsiTheme="minorHAnsi" w:cstheme="minorHAnsi"/>
          <w:sz w:val="22"/>
        </w:rPr>
        <w:t>the applicable penal charges shall be communicated. Any instance of levy of penal charges and the reason therefor</w:t>
      </w:r>
      <w:r w:rsidR="0010281C">
        <w:rPr>
          <w:rFonts w:asciiTheme="minorHAnsi" w:hAnsiTheme="minorHAnsi" w:cstheme="minorHAnsi"/>
          <w:sz w:val="22"/>
        </w:rPr>
        <w:t>e</w:t>
      </w:r>
      <w:r w:rsidRPr="004F50D4">
        <w:rPr>
          <w:rFonts w:asciiTheme="minorHAnsi" w:hAnsiTheme="minorHAnsi" w:cstheme="minorHAnsi"/>
          <w:sz w:val="22"/>
        </w:rPr>
        <w:t xml:space="preserve"> shall also be communicated</w:t>
      </w:r>
      <w:r w:rsidR="00A94833" w:rsidRPr="004F50D4">
        <w:rPr>
          <w:rFonts w:asciiTheme="minorHAnsi" w:hAnsiTheme="minorHAnsi" w:cstheme="minorHAnsi"/>
          <w:sz w:val="22"/>
        </w:rPr>
        <w:t xml:space="preserve"> by </w:t>
      </w:r>
      <w:r w:rsidR="00CA0F34">
        <w:rPr>
          <w:rFonts w:asciiTheme="minorHAnsi" w:hAnsiTheme="minorHAnsi" w:cstheme="minorHAnsi"/>
          <w:sz w:val="22"/>
        </w:rPr>
        <w:t>BILIL</w:t>
      </w:r>
      <w:r w:rsidRPr="004F50D4">
        <w:rPr>
          <w:rFonts w:asciiTheme="minorHAnsi" w:hAnsiTheme="minorHAnsi" w:cstheme="minorHAnsi"/>
          <w:sz w:val="22"/>
        </w:rPr>
        <w:t xml:space="preserve">. </w:t>
      </w:r>
    </w:p>
    <w:p w14:paraId="6DC317F7" w14:textId="75ED1E49" w:rsidR="00AB3E37" w:rsidRPr="004F50D4" w:rsidRDefault="00AB3E37" w:rsidP="004F50D4">
      <w:pPr>
        <w:spacing w:after="0" w:line="240" w:lineRule="auto"/>
        <w:ind w:left="0" w:firstLine="0"/>
        <w:rPr>
          <w:rFonts w:asciiTheme="minorHAnsi" w:hAnsiTheme="minorHAnsi" w:cstheme="minorHAnsi"/>
          <w:b/>
          <w:sz w:val="22"/>
        </w:rPr>
      </w:pPr>
    </w:p>
    <w:p w14:paraId="3BD05411" w14:textId="77777777" w:rsidR="008E4DCF" w:rsidRPr="00DD7944" w:rsidRDefault="008E4DCF" w:rsidP="00DD7944">
      <w:pPr>
        <w:pStyle w:val="ListParagraph"/>
        <w:spacing w:after="0" w:line="240" w:lineRule="auto"/>
        <w:rPr>
          <w:rFonts w:asciiTheme="minorHAnsi" w:hAnsiTheme="minorHAnsi" w:cstheme="minorHAnsi"/>
          <w:bCs/>
          <w:sz w:val="22"/>
        </w:rPr>
      </w:pPr>
    </w:p>
    <w:p w14:paraId="67A80E02" w14:textId="226E800B" w:rsidR="00AB3E37" w:rsidRDefault="006F79C5" w:rsidP="004F50D4">
      <w:pPr>
        <w:pStyle w:val="ListParagraph"/>
        <w:numPr>
          <w:ilvl w:val="1"/>
          <w:numId w:val="12"/>
        </w:numPr>
        <w:spacing w:after="0" w:line="240" w:lineRule="auto"/>
        <w:ind w:left="1440" w:hanging="720"/>
        <w:rPr>
          <w:rFonts w:asciiTheme="minorHAnsi" w:hAnsiTheme="minorHAnsi" w:cstheme="minorHAnsi"/>
          <w:bCs/>
          <w:sz w:val="22"/>
        </w:rPr>
      </w:pPr>
      <w:r>
        <w:rPr>
          <w:rFonts w:asciiTheme="minorHAnsi" w:hAnsiTheme="minorHAnsi" w:cstheme="minorHAnsi"/>
          <w:bCs/>
          <w:sz w:val="22"/>
        </w:rPr>
        <w:t xml:space="preserve">BILIL </w:t>
      </w:r>
      <w:r w:rsidR="00C477F8" w:rsidRPr="004F50D4">
        <w:rPr>
          <w:rFonts w:asciiTheme="minorHAnsi" w:hAnsiTheme="minorHAnsi" w:cstheme="minorHAnsi"/>
          <w:bCs/>
          <w:sz w:val="22"/>
        </w:rPr>
        <w:t xml:space="preserve">may </w:t>
      </w:r>
      <w:r w:rsidR="00AB3E37" w:rsidRPr="004F50D4">
        <w:rPr>
          <w:rFonts w:asciiTheme="minorHAnsi" w:hAnsiTheme="minorHAnsi" w:cstheme="minorHAnsi"/>
          <w:bCs/>
          <w:sz w:val="22"/>
        </w:rPr>
        <w:t>waive</w:t>
      </w:r>
      <w:r w:rsidR="00C477F8" w:rsidRPr="004F50D4">
        <w:rPr>
          <w:rFonts w:asciiTheme="minorHAnsi" w:hAnsiTheme="minorHAnsi" w:cstheme="minorHAnsi"/>
          <w:bCs/>
          <w:sz w:val="22"/>
        </w:rPr>
        <w:t xml:space="preserve"> penal charges if it is satisfied that the issue in question was caused by matters such as </w:t>
      </w:r>
      <w:proofErr w:type="gramStart"/>
      <w:r w:rsidR="00AC634D" w:rsidRPr="004F50D4">
        <w:rPr>
          <w:rFonts w:asciiTheme="minorHAnsi" w:hAnsiTheme="minorHAnsi" w:cstheme="minorHAnsi"/>
          <w:bCs/>
          <w:sz w:val="22"/>
        </w:rPr>
        <w:t xml:space="preserve">technical </w:t>
      </w:r>
      <w:r w:rsidR="00C477F8" w:rsidRPr="004F50D4">
        <w:rPr>
          <w:rFonts w:asciiTheme="minorHAnsi" w:hAnsiTheme="minorHAnsi" w:cstheme="minorHAnsi"/>
          <w:bCs/>
          <w:sz w:val="22"/>
        </w:rPr>
        <w:t xml:space="preserve"> systems</w:t>
      </w:r>
      <w:proofErr w:type="gramEnd"/>
      <w:r w:rsidR="00C477F8" w:rsidRPr="004F50D4">
        <w:rPr>
          <w:rFonts w:asciiTheme="minorHAnsi" w:hAnsiTheme="minorHAnsi" w:cstheme="minorHAnsi"/>
          <w:bCs/>
          <w:sz w:val="22"/>
        </w:rPr>
        <w:t xml:space="preserve"> related errors and/or are demonstrably not deliberate, willful or negligent, with the reasoned </w:t>
      </w:r>
      <w:r w:rsidR="00046641" w:rsidRPr="004F50D4">
        <w:rPr>
          <w:rFonts w:asciiTheme="minorHAnsi" w:hAnsiTheme="minorHAnsi" w:cstheme="minorHAnsi"/>
          <w:bCs/>
          <w:sz w:val="22"/>
        </w:rPr>
        <w:t xml:space="preserve">approval </w:t>
      </w:r>
      <w:r w:rsidR="00C477F8" w:rsidRPr="004F50D4">
        <w:rPr>
          <w:rFonts w:asciiTheme="minorHAnsi" w:hAnsiTheme="minorHAnsi" w:cstheme="minorHAnsi"/>
          <w:bCs/>
          <w:sz w:val="22"/>
        </w:rPr>
        <w:t>of the r</w:t>
      </w:r>
      <w:r w:rsidR="00046641" w:rsidRPr="004F50D4">
        <w:rPr>
          <w:rFonts w:asciiTheme="minorHAnsi" w:hAnsiTheme="minorHAnsi" w:cstheme="minorHAnsi"/>
          <w:bCs/>
          <w:sz w:val="22"/>
        </w:rPr>
        <w:t>elevant Business Heads</w:t>
      </w:r>
      <w:r w:rsidR="00A2020D" w:rsidRPr="004F50D4">
        <w:rPr>
          <w:rFonts w:asciiTheme="minorHAnsi" w:hAnsiTheme="minorHAnsi" w:cstheme="minorHAnsi"/>
          <w:bCs/>
          <w:sz w:val="22"/>
        </w:rPr>
        <w:t xml:space="preserve"> or their respective delegates</w:t>
      </w:r>
      <w:r w:rsidR="00046641" w:rsidRPr="004F50D4">
        <w:rPr>
          <w:rFonts w:asciiTheme="minorHAnsi" w:hAnsiTheme="minorHAnsi" w:cstheme="minorHAnsi"/>
          <w:bCs/>
          <w:sz w:val="22"/>
        </w:rPr>
        <w:t xml:space="preserve">. </w:t>
      </w:r>
      <w:r w:rsidR="00241ECB">
        <w:rPr>
          <w:rFonts w:asciiTheme="minorHAnsi" w:hAnsiTheme="minorHAnsi" w:cstheme="minorHAnsi"/>
          <w:bCs/>
          <w:sz w:val="22"/>
        </w:rPr>
        <w:t>Documentation for waivers</w:t>
      </w:r>
      <w:r w:rsidR="000A0000">
        <w:rPr>
          <w:rFonts w:asciiTheme="minorHAnsi" w:hAnsiTheme="minorHAnsi" w:cstheme="minorHAnsi"/>
          <w:bCs/>
          <w:sz w:val="22"/>
        </w:rPr>
        <w:t xml:space="preserve">, </w:t>
      </w:r>
      <w:proofErr w:type="gramStart"/>
      <w:r w:rsidR="000A0000">
        <w:rPr>
          <w:rFonts w:asciiTheme="minorHAnsi" w:hAnsiTheme="minorHAnsi" w:cstheme="minorHAnsi"/>
          <w:bCs/>
          <w:sz w:val="22"/>
        </w:rPr>
        <w:t xml:space="preserve">including </w:t>
      </w:r>
      <w:r w:rsidR="000A0000" w:rsidRPr="00011D56">
        <w:rPr>
          <w:rFonts w:asciiTheme="minorHAnsi" w:hAnsiTheme="minorHAnsi" w:cstheme="minorHAnsi"/>
          <w:bCs/>
          <w:sz w:val="22"/>
        </w:rPr>
        <w:t xml:space="preserve"> </w:t>
      </w:r>
      <w:r w:rsidR="000A0000">
        <w:rPr>
          <w:rFonts w:asciiTheme="minorHAnsi" w:hAnsiTheme="minorHAnsi" w:cstheme="minorHAnsi"/>
          <w:bCs/>
          <w:sz w:val="22"/>
        </w:rPr>
        <w:t>in</w:t>
      </w:r>
      <w:proofErr w:type="gramEnd"/>
      <w:r w:rsidR="000A0000">
        <w:rPr>
          <w:rFonts w:asciiTheme="minorHAnsi" w:hAnsiTheme="minorHAnsi" w:cstheme="minorHAnsi"/>
          <w:bCs/>
          <w:sz w:val="22"/>
        </w:rPr>
        <w:t xml:space="preserve"> the context of Non-Performing Assets,</w:t>
      </w:r>
      <w:r w:rsidR="00241ECB">
        <w:rPr>
          <w:rFonts w:asciiTheme="minorHAnsi" w:hAnsiTheme="minorHAnsi" w:cstheme="minorHAnsi"/>
          <w:bCs/>
          <w:sz w:val="22"/>
        </w:rPr>
        <w:t xml:space="preserve"> will be maintained by </w:t>
      </w:r>
      <w:r>
        <w:rPr>
          <w:rFonts w:asciiTheme="minorHAnsi" w:hAnsiTheme="minorHAnsi" w:cstheme="minorHAnsi"/>
          <w:bCs/>
          <w:sz w:val="22"/>
        </w:rPr>
        <w:t xml:space="preserve">BILIL’s </w:t>
      </w:r>
      <w:r w:rsidR="00241ECB">
        <w:rPr>
          <w:rFonts w:asciiTheme="minorHAnsi" w:hAnsiTheme="minorHAnsi" w:cstheme="minorHAnsi"/>
          <w:bCs/>
          <w:sz w:val="22"/>
        </w:rPr>
        <w:t>Operations department.</w:t>
      </w:r>
    </w:p>
    <w:p w14:paraId="7A1590CA" w14:textId="77777777" w:rsidR="000A0000" w:rsidRDefault="000A0000" w:rsidP="000A0000">
      <w:pPr>
        <w:spacing w:after="0" w:line="240" w:lineRule="auto"/>
        <w:rPr>
          <w:rFonts w:asciiTheme="minorHAnsi" w:hAnsiTheme="minorHAnsi" w:cstheme="minorHAnsi"/>
          <w:bCs/>
          <w:sz w:val="22"/>
        </w:rPr>
      </w:pPr>
    </w:p>
    <w:p w14:paraId="5EDD5D42" w14:textId="77777777" w:rsidR="000A0000" w:rsidRPr="00886FF0" w:rsidRDefault="000A0000" w:rsidP="000A0000">
      <w:pPr>
        <w:pStyle w:val="ListParagraph"/>
        <w:spacing w:after="0" w:line="240" w:lineRule="auto"/>
        <w:ind w:left="1440" w:firstLine="0"/>
        <w:rPr>
          <w:rFonts w:asciiTheme="minorHAnsi" w:eastAsia="Times New Roman" w:hAnsiTheme="minorHAnsi" w:cstheme="minorHAnsi"/>
          <w:sz w:val="22"/>
        </w:rPr>
      </w:pPr>
      <w:r w:rsidRPr="00886FF0">
        <w:rPr>
          <w:rFonts w:asciiTheme="minorHAnsi" w:eastAsia="Times New Roman" w:hAnsiTheme="minorHAnsi" w:cstheme="minorHAnsi"/>
          <w:sz w:val="22"/>
        </w:rPr>
        <w:t>Penal charges will not be levied on outstanding amounts of penal charges.</w:t>
      </w:r>
    </w:p>
    <w:p w14:paraId="6D4F82FE" w14:textId="77777777" w:rsidR="000A0000" w:rsidRDefault="000A0000" w:rsidP="000A0000">
      <w:pPr>
        <w:pStyle w:val="ListParagraph"/>
        <w:spacing w:after="0" w:line="240" w:lineRule="auto"/>
        <w:ind w:left="1440" w:firstLine="0"/>
        <w:rPr>
          <w:rFonts w:asciiTheme="minorHAnsi" w:eastAsia="Times New Roman" w:hAnsiTheme="minorHAnsi" w:cstheme="minorHAnsi"/>
          <w:sz w:val="22"/>
        </w:rPr>
      </w:pPr>
    </w:p>
    <w:p w14:paraId="37248005" w14:textId="33090E90" w:rsidR="000A0000" w:rsidRPr="000A0000" w:rsidRDefault="000A0000" w:rsidP="000A0000">
      <w:pPr>
        <w:spacing w:after="0" w:line="240" w:lineRule="auto"/>
        <w:ind w:left="1440" w:firstLine="0"/>
        <w:rPr>
          <w:rFonts w:asciiTheme="minorHAnsi" w:hAnsiTheme="minorHAnsi" w:cstheme="minorHAnsi"/>
          <w:bCs/>
          <w:sz w:val="22"/>
        </w:rPr>
      </w:pPr>
      <w:r w:rsidRPr="00011D56">
        <w:rPr>
          <w:rFonts w:asciiTheme="minorHAnsi" w:eastAsia="Times New Roman" w:hAnsiTheme="minorHAnsi" w:cstheme="minorHAnsi"/>
          <w:sz w:val="22"/>
        </w:rPr>
        <w:t xml:space="preserve">As regards Non-Performing Assets, penal charges shall be reversed to the extent </w:t>
      </w:r>
      <w:r>
        <w:rPr>
          <w:rFonts w:asciiTheme="minorHAnsi" w:eastAsia="Times New Roman" w:hAnsiTheme="minorHAnsi" w:cstheme="minorHAnsi"/>
          <w:sz w:val="22"/>
        </w:rPr>
        <w:t>they remain</w:t>
      </w:r>
      <w:r w:rsidRPr="00011D56">
        <w:rPr>
          <w:rFonts w:asciiTheme="minorHAnsi" w:eastAsia="Times New Roman" w:hAnsiTheme="minorHAnsi" w:cstheme="minorHAnsi"/>
          <w:sz w:val="22"/>
        </w:rPr>
        <w:t xml:space="preserve"> uncollected for the specific purpose of non-recognition of income. However, the same shall be part of the total liability of the borrower to </w:t>
      </w:r>
      <w:r>
        <w:rPr>
          <w:rFonts w:asciiTheme="minorHAnsi" w:eastAsia="Times New Roman" w:hAnsiTheme="minorHAnsi" w:cstheme="minorHAnsi"/>
          <w:sz w:val="22"/>
        </w:rPr>
        <w:t>BILIL</w:t>
      </w:r>
      <w:r w:rsidRPr="00011D56">
        <w:rPr>
          <w:rFonts w:asciiTheme="minorHAnsi" w:eastAsia="Times New Roman" w:hAnsiTheme="minorHAnsi" w:cstheme="minorHAnsi"/>
          <w:sz w:val="22"/>
        </w:rPr>
        <w:t xml:space="preserve">, unless waived as per </w:t>
      </w:r>
      <w:r>
        <w:rPr>
          <w:rFonts w:asciiTheme="minorHAnsi" w:eastAsia="Times New Roman" w:hAnsiTheme="minorHAnsi" w:cstheme="minorHAnsi"/>
          <w:sz w:val="22"/>
        </w:rPr>
        <w:t>a BILIL’s</w:t>
      </w:r>
      <w:r w:rsidRPr="00011D56">
        <w:rPr>
          <w:rFonts w:asciiTheme="minorHAnsi" w:eastAsia="Times New Roman" w:hAnsiTheme="minorHAnsi" w:cstheme="minorHAnsi"/>
          <w:sz w:val="22"/>
        </w:rPr>
        <w:t xml:space="preserve"> policy</w:t>
      </w:r>
    </w:p>
    <w:p w14:paraId="3526BF92" w14:textId="4E35986E" w:rsidR="00AB3E37" w:rsidRPr="004F50D4" w:rsidRDefault="00AB3E37" w:rsidP="004F50D4">
      <w:pPr>
        <w:spacing w:after="0" w:line="240" w:lineRule="auto"/>
        <w:ind w:left="0" w:firstLine="0"/>
        <w:rPr>
          <w:rFonts w:asciiTheme="minorHAnsi" w:hAnsiTheme="minorHAnsi" w:cstheme="minorHAnsi"/>
          <w:b/>
          <w:sz w:val="22"/>
        </w:rPr>
      </w:pPr>
    </w:p>
    <w:p w14:paraId="64A98A68" w14:textId="183E5AF1" w:rsidR="002F0F24" w:rsidRPr="004F50D4" w:rsidRDefault="002F0F24" w:rsidP="004F50D4">
      <w:pPr>
        <w:pStyle w:val="Heading1"/>
        <w:numPr>
          <w:ilvl w:val="0"/>
          <w:numId w:val="12"/>
        </w:numPr>
        <w:spacing w:after="0" w:line="240" w:lineRule="auto"/>
        <w:ind w:left="720" w:hanging="720"/>
        <w:contextualSpacing/>
        <w:rPr>
          <w:rFonts w:asciiTheme="minorHAnsi" w:hAnsiTheme="minorHAnsi" w:cstheme="minorHAnsi"/>
          <w:b w:val="0"/>
          <w:sz w:val="22"/>
        </w:rPr>
      </w:pPr>
      <w:bookmarkStart w:id="19" w:name="_Toc155014760"/>
      <w:r w:rsidRPr="004F50D4">
        <w:rPr>
          <w:rFonts w:asciiTheme="minorHAnsi" w:hAnsiTheme="minorHAnsi" w:cstheme="minorHAnsi"/>
          <w:sz w:val="22"/>
        </w:rPr>
        <w:t>Annexures</w:t>
      </w:r>
      <w:bookmarkEnd w:id="19"/>
      <w:r w:rsidRPr="004F50D4">
        <w:rPr>
          <w:rFonts w:asciiTheme="minorHAnsi" w:hAnsiTheme="minorHAnsi" w:cstheme="minorHAnsi"/>
          <w:sz w:val="22"/>
        </w:rPr>
        <w:t xml:space="preserve"> </w:t>
      </w:r>
    </w:p>
    <w:p w14:paraId="1F913E61" w14:textId="7210A518" w:rsidR="00AB3E37" w:rsidRPr="004F50D4" w:rsidRDefault="00AB3E37" w:rsidP="004F50D4">
      <w:pPr>
        <w:spacing w:after="0" w:line="240" w:lineRule="auto"/>
        <w:ind w:left="0" w:firstLine="0"/>
        <w:rPr>
          <w:rFonts w:asciiTheme="minorHAnsi" w:hAnsiTheme="minorHAnsi" w:cstheme="minorHAnsi"/>
          <w:b/>
          <w:sz w:val="22"/>
        </w:rPr>
      </w:pPr>
    </w:p>
    <w:p w14:paraId="7273CAF9" w14:textId="41307C30" w:rsidR="003175DF" w:rsidRPr="004F50D4" w:rsidRDefault="00E12239" w:rsidP="004F50D4">
      <w:pPr>
        <w:spacing w:after="0" w:line="240" w:lineRule="auto"/>
        <w:ind w:left="720" w:firstLine="0"/>
        <w:rPr>
          <w:rFonts w:asciiTheme="minorHAnsi" w:hAnsiTheme="minorHAnsi" w:cstheme="minorHAnsi"/>
          <w:b/>
          <w:sz w:val="22"/>
        </w:rPr>
      </w:pPr>
      <w:r w:rsidRPr="004F50D4">
        <w:rPr>
          <w:rFonts w:asciiTheme="minorHAnsi" w:hAnsiTheme="minorHAnsi" w:cstheme="minorHAnsi"/>
          <w:b/>
          <w:sz w:val="22"/>
        </w:rPr>
        <w:t xml:space="preserve">Annexure 1: </w:t>
      </w:r>
      <w:r w:rsidR="00732CB8" w:rsidRPr="004F50D4">
        <w:rPr>
          <w:rFonts w:asciiTheme="minorHAnsi" w:hAnsiTheme="minorHAnsi" w:cstheme="minorHAnsi"/>
          <w:bCs/>
          <w:sz w:val="22"/>
        </w:rPr>
        <w:t xml:space="preserve">Draft penal charges clause for </w:t>
      </w:r>
      <w:r w:rsidR="006F79C5">
        <w:rPr>
          <w:rFonts w:asciiTheme="minorHAnsi" w:hAnsiTheme="minorHAnsi" w:cstheme="minorHAnsi"/>
          <w:bCs/>
          <w:sz w:val="22"/>
        </w:rPr>
        <w:t>BILIL</w:t>
      </w:r>
      <w:r w:rsidR="00DB36AC" w:rsidRPr="004F50D4">
        <w:rPr>
          <w:rFonts w:asciiTheme="minorHAnsi" w:hAnsiTheme="minorHAnsi" w:cstheme="minorHAnsi"/>
          <w:bCs/>
          <w:sz w:val="22"/>
        </w:rPr>
        <w:t xml:space="preserve"> </w:t>
      </w:r>
      <w:r w:rsidR="003175DF" w:rsidRPr="004F50D4">
        <w:rPr>
          <w:rFonts w:asciiTheme="minorHAnsi" w:hAnsiTheme="minorHAnsi" w:cstheme="minorHAnsi"/>
          <w:bCs/>
          <w:sz w:val="22"/>
        </w:rPr>
        <w:t>– defined terms as used in the template/executed agreements/MITC will be used</w:t>
      </w:r>
      <w:r w:rsidR="00732CB8" w:rsidRPr="004F50D4">
        <w:rPr>
          <w:rFonts w:asciiTheme="minorHAnsi" w:hAnsiTheme="minorHAnsi" w:cstheme="minorHAnsi"/>
          <w:bCs/>
          <w:sz w:val="22"/>
        </w:rPr>
        <w:t>.</w:t>
      </w:r>
    </w:p>
    <w:p w14:paraId="5F3E94D6" w14:textId="77777777" w:rsidR="003175DF" w:rsidRPr="004F50D4" w:rsidRDefault="003175DF" w:rsidP="004F50D4">
      <w:pPr>
        <w:spacing w:after="0" w:line="240" w:lineRule="auto"/>
        <w:ind w:left="0" w:firstLine="0"/>
        <w:rPr>
          <w:rFonts w:asciiTheme="minorHAnsi" w:hAnsiTheme="minorHAnsi" w:cstheme="minorHAnsi"/>
          <w:b/>
          <w:sz w:val="22"/>
        </w:rPr>
      </w:pPr>
    </w:p>
    <w:p w14:paraId="7EE0C29C" w14:textId="77777777" w:rsidR="00587372" w:rsidRPr="004F50D4" w:rsidRDefault="00732CB8" w:rsidP="004F50D4">
      <w:pPr>
        <w:spacing w:after="0" w:line="240" w:lineRule="auto"/>
        <w:ind w:left="720" w:firstLine="0"/>
        <w:rPr>
          <w:rFonts w:asciiTheme="minorHAnsi" w:hAnsiTheme="minorHAnsi" w:cstheme="minorHAnsi"/>
          <w:b/>
          <w:sz w:val="22"/>
        </w:rPr>
      </w:pPr>
      <w:r w:rsidRPr="004F50D4">
        <w:rPr>
          <w:rFonts w:asciiTheme="minorHAnsi" w:hAnsiTheme="minorHAnsi" w:cstheme="minorHAnsi"/>
          <w:sz w:val="22"/>
        </w:rPr>
        <w:t>“</w:t>
      </w:r>
      <w:r w:rsidR="00D6143D" w:rsidRPr="004F50D4">
        <w:rPr>
          <w:rFonts w:asciiTheme="minorHAnsi" w:hAnsiTheme="minorHAnsi" w:cstheme="minorHAnsi"/>
          <w:b/>
          <w:sz w:val="22"/>
        </w:rPr>
        <w:t>Penal charges</w:t>
      </w:r>
      <w:r w:rsidR="00D6143D" w:rsidRPr="004F50D4">
        <w:rPr>
          <w:rFonts w:asciiTheme="minorHAnsi" w:hAnsiTheme="minorHAnsi" w:cstheme="minorHAnsi"/>
          <w:sz w:val="22"/>
        </w:rPr>
        <w:t>:</w:t>
      </w:r>
    </w:p>
    <w:p w14:paraId="0F96D7F5" w14:textId="77777777" w:rsidR="003175DF" w:rsidRPr="004F50D4" w:rsidRDefault="003175DF" w:rsidP="004F50D4">
      <w:pPr>
        <w:spacing w:after="0" w:line="240" w:lineRule="auto"/>
        <w:ind w:left="720" w:right="233" w:firstLine="0"/>
        <w:rPr>
          <w:rFonts w:asciiTheme="minorHAnsi" w:hAnsiTheme="minorHAnsi" w:cstheme="minorHAnsi"/>
          <w:sz w:val="22"/>
        </w:rPr>
      </w:pPr>
    </w:p>
    <w:p w14:paraId="28E77A18" w14:textId="77777777" w:rsidR="00D03658" w:rsidRPr="004F50D4" w:rsidRDefault="00F159DB" w:rsidP="004F50D4">
      <w:pPr>
        <w:spacing w:after="0" w:line="240" w:lineRule="auto"/>
        <w:ind w:left="720" w:right="233" w:firstLine="0"/>
        <w:rPr>
          <w:rFonts w:asciiTheme="minorHAnsi" w:hAnsiTheme="minorHAnsi" w:cstheme="minorHAnsi"/>
          <w:sz w:val="22"/>
        </w:rPr>
      </w:pPr>
      <w:r w:rsidRPr="004F50D4">
        <w:rPr>
          <w:rFonts w:asciiTheme="minorHAnsi" w:hAnsiTheme="minorHAnsi" w:cstheme="minorHAnsi"/>
          <w:sz w:val="22"/>
        </w:rPr>
        <w:t>The Borrower agrees and accepts that</w:t>
      </w:r>
      <w:r w:rsidR="00D03658" w:rsidRPr="004F50D4">
        <w:rPr>
          <w:rFonts w:asciiTheme="minorHAnsi" w:hAnsiTheme="minorHAnsi" w:cstheme="minorHAnsi"/>
          <w:sz w:val="22"/>
        </w:rPr>
        <w:t>:</w:t>
      </w:r>
    </w:p>
    <w:p w14:paraId="5343A503" w14:textId="77777777" w:rsidR="00D40728" w:rsidRPr="004F50D4" w:rsidRDefault="00D40728" w:rsidP="004F50D4">
      <w:pPr>
        <w:spacing w:after="0" w:line="240" w:lineRule="auto"/>
        <w:ind w:left="720" w:right="233" w:firstLine="0"/>
        <w:rPr>
          <w:rFonts w:asciiTheme="minorHAnsi" w:hAnsiTheme="minorHAnsi" w:cstheme="minorHAnsi"/>
          <w:sz w:val="22"/>
        </w:rPr>
      </w:pPr>
    </w:p>
    <w:p w14:paraId="651E4A11" w14:textId="7C1916C0" w:rsidR="00D03658" w:rsidRPr="004F50D4" w:rsidRDefault="008B1EBA" w:rsidP="004F50D4">
      <w:pPr>
        <w:pStyle w:val="ListParagraph"/>
        <w:numPr>
          <w:ilvl w:val="0"/>
          <w:numId w:val="4"/>
        </w:numPr>
        <w:spacing w:after="0" w:line="240" w:lineRule="auto"/>
        <w:ind w:left="1440" w:right="233"/>
        <w:rPr>
          <w:rFonts w:asciiTheme="minorHAnsi" w:hAnsiTheme="minorHAnsi" w:cstheme="minorHAnsi"/>
          <w:sz w:val="22"/>
        </w:rPr>
      </w:pPr>
      <w:r>
        <w:rPr>
          <w:rFonts w:asciiTheme="minorHAnsi" w:hAnsiTheme="minorHAnsi" w:cstheme="minorHAnsi"/>
          <w:sz w:val="22"/>
        </w:rPr>
        <w:t xml:space="preserve">BILIL </w:t>
      </w:r>
      <w:r w:rsidR="00F159DB" w:rsidRPr="004F50D4">
        <w:rPr>
          <w:rFonts w:asciiTheme="minorHAnsi" w:hAnsiTheme="minorHAnsi" w:cstheme="minorHAnsi"/>
          <w:sz w:val="22"/>
        </w:rPr>
        <w:t>will levy penal charge</w:t>
      </w:r>
      <w:r w:rsidR="00B956D5" w:rsidRPr="004F50D4">
        <w:rPr>
          <w:rFonts w:asciiTheme="minorHAnsi" w:hAnsiTheme="minorHAnsi" w:cstheme="minorHAnsi"/>
          <w:sz w:val="22"/>
        </w:rPr>
        <w:t xml:space="preserve">(s) as detailed </w:t>
      </w:r>
      <w:proofErr w:type="gramStart"/>
      <w:r w:rsidR="00B956D5" w:rsidRPr="004F50D4">
        <w:rPr>
          <w:rFonts w:asciiTheme="minorHAnsi" w:hAnsiTheme="minorHAnsi" w:cstheme="minorHAnsi"/>
          <w:sz w:val="22"/>
        </w:rPr>
        <w:t xml:space="preserve">below, </w:t>
      </w:r>
      <w:r w:rsidR="00F159DB" w:rsidRPr="004F50D4">
        <w:rPr>
          <w:rFonts w:asciiTheme="minorHAnsi" w:hAnsiTheme="minorHAnsi" w:cstheme="minorHAnsi"/>
          <w:sz w:val="22"/>
        </w:rPr>
        <w:t xml:space="preserve"> with</w:t>
      </w:r>
      <w:proofErr w:type="gramEnd"/>
      <w:r w:rsidR="00F159DB" w:rsidRPr="004F50D4">
        <w:rPr>
          <w:rFonts w:asciiTheme="minorHAnsi" w:hAnsiTheme="minorHAnsi" w:cstheme="minorHAnsi"/>
          <w:sz w:val="22"/>
        </w:rPr>
        <w:t xml:space="preserve"> respect to the loan</w:t>
      </w:r>
      <w:r w:rsidR="00E0754B" w:rsidRPr="004F50D4">
        <w:rPr>
          <w:rFonts w:asciiTheme="minorHAnsi" w:hAnsiTheme="minorHAnsi" w:cstheme="minorHAnsi"/>
          <w:sz w:val="22"/>
        </w:rPr>
        <w:t>,</w:t>
      </w:r>
      <w:r w:rsidR="00F159DB" w:rsidRPr="004F50D4">
        <w:rPr>
          <w:rFonts w:asciiTheme="minorHAnsi" w:hAnsiTheme="minorHAnsi" w:cstheme="minorHAnsi"/>
          <w:sz w:val="22"/>
        </w:rPr>
        <w:t xml:space="preserve"> for </w:t>
      </w:r>
      <w:proofErr w:type="spellStart"/>
      <w:r w:rsidR="00F159DB" w:rsidRPr="004F50D4">
        <w:rPr>
          <w:rFonts w:asciiTheme="minorHAnsi" w:hAnsiTheme="minorHAnsi" w:cstheme="minorHAnsi"/>
          <w:sz w:val="22"/>
        </w:rPr>
        <w:t>non compliance</w:t>
      </w:r>
      <w:proofErr w:type="spellEnd"/>
      <w:r w:rsidR="00F159DB" w:rsidRPr="004F50D4">
        <w:rPr>
          <w:rFonts w:asciiTheme="minorHAnsi" w:hAnsiTheme="minorHAnsi" w:cstheme="minorHAnsi"/>
          <w:sz w:val="22"/>
        </w:rPr>
        <w:t xml:space="preserve"> </w:t>
      </w:r>
      <w:r w:rsidR="00D03658" w:rsidRPr="004F50D4">
        <w:rPr>
          <w:rFonts w:asciiTheme="minorHAnsi" w:hAnsiTheme="minorHAnsi" w:cstheme="minorHAnsi"/>
          <w:sz w:val="22"/>
        </w:rPr>
        <w:t xml:space="preserve">by the Borrower </w:t>
      </w:r>
      <w:r w:rsidR="00F159DB" w:rsidRPr="004F50D4">
        <w:rPr>
          <w:rFonts w:asciiTheme="minorHAnsi" w:hAnsiTheme="minorHAnsi" w:cstheme="minorHAnsi"/>
          <w:sz w:val="22"/>
        </w:rPr>
        <w:t xml:space="preserve">with the following terms and conditions, which the Borrower agrees and accepts are material to the </w:t>
      </w:r>
      <w:r w:rsidR="00E0754B" w:rsidRPr="004F50D4">
        <w:rPr>
          <w:rFonts w:asciiTheme="minorHAnsi" w:hAnsiTheme="minorHAnsi" w:cstheme="minorHAnsi"/>
          <w:sz w:val="22"/>
        </w:rPr>
        <w:t xml:space="preserve">loan </w:t>
      </w:r>
      <w:r w:rsidR="00F159DB" w:rsidRPr="004F50D4">
        <w:rPr>
          <w:rFonts w:asciiTheme="minorHAnsi" w:hAnsiTheme="minorHAnsi" w:cstheme="minorHAnsi"/>
          <w:sz w:val="22"/>
        </w:rPr>
        <w:t>contract</w:t>
      </w:r>
      <w:r w:rsidR="00D03658" w:rsidRPr="004F50D4">
        <w:rPr>
          <w:rFonts w:asciiTheme="minorHAnsi" w:hAnsiTheme="minorHAnsi" w:cstheme="minorHAnsi"/>
          <w:sz w:val="22"/>
        </w:rPr>
        <w:t>:</w:t>
      </w:r>
    </w:p>
    <w:p w14:paraId="0CADBEFB" w14:textId="77777777" w:rsidR="00B956D5" w:rsidRPr="004F50D4" w:rsidRDefault="00B956D5" w:rsidP="004F50D4">
      <w:pPr>
        <w:spacing w:after="0" w:line="240" w:lineRule="auto"/>
        <w:ind w:left="1440" w:right="233" w:firstLine="0"/>
        <w:rPr>
          <w:rFonts w:asciiTheme="minorHAnsi" w:hAnsiTheme="minorHAnsi" w:cstheme="minorHAnsi"/>
          <w:sz w:val="22"/>
          <w:highlight w:val="yellow"/>
        </w:rPr>
      </w:pPr>
    </w:p>
    <w:p w14:paraId="560C502E" w14:textId="351604D3" w:rsidR="00D03658" w:rsidRPr="004F50D4" w:rsidRDefault="00B956D5" w:rsidP="004F50D4">
      <w:pPr>
        <w:spacing w:after="0" w:line="240" w:lineRule="auto"/>
        <w:ind w:left="1440" w:right="233" w:firstLine="0"/>
        <w:rPr>
          <w:rFonts w:asciiTheme="minorHAnsi" w:hAnsiTheme="minorHAnsi" w:cstheme="minorHAnsi"/>
          <w:sz w:val="22"/>
        </w:rPr>
      </w:pPr>
      <w:r w:rsidRPr="00494188">
        <w:rPr>
          <w:rFonts w:asciiTheme="minorHAnsi" w:hAnsiTheme="minorHAnsi" w:cstheme="minorHAnsi"/>
          <w:sz w:val="22"/>
        </w:rPr>
        <w:t>[INCLUDE THE RELEVANT DETAIL AND THE DETAIL OF THE APPLICABLE PENAL CHARGE]</w:t>
      </w:r>
    </w:p>
    <w:p w14:paraId="7814F798" w14:textId="77777777" w:rsidR="00A7602B" w:rsidRPr="004F50D4" w:rsidRDefault="00A7602B" w:rsidP="004F50D4">
      <w:pPr>
        <w:pStyle w:val="ListParagraph"/>
        <w:spacing w:after="0" w:line="240" w:lineRule="auto"/>
        <w:ind w:left="1440" w:firstLine="0"/>
        <w:rPr>
          <w:rFonts w:asciiTheme="minorHAnsi" w:hAnsiTheme="minorHAnsi" w:cstheme="minorHAnsi"/>
          <w:sz w:val="22"/>
        </w:rPr>
      </w:pPr>
    </w:p>
    <w:p w14:paraId="316CE508" w14:textId="494BD670" w:rsidR="00C05018" w:rsidRPr="004F50D4" w:rsidRDefault="00D03658" w:rsidP="004F50D4">
      <w:pPr>
        <w:pStyle w:val="ListParagraph"/>
        <w:numPr>
          <w:ilvl w:val="0"/>
          <w:numId w:val="4"/>
        </w:numPr>
        <w:spacing w:after="0" w:line="240" w:lineRule="auto"/>
        <w:ind w:left="1440"/>
        <w:rPr>
          <w:rFonts w:asciiTheme="minorHAnsi" w:hAnsiTheme="minorHAnsi" w:cstheme="minorHAnsi"/>
          <w:sz w:val="22"/>
        </w:rPr>
      </w:pPr>
      <w:r w:rsidRPr="004F50D4">
        <w:rPr>
          <w:rFonts w:asciiTheme="minorHAnsi" w:hAnsiTheme="minorHAnsi" w:cstheme="minorHAnsi"/>
          <w:sz w:val="22"/>
        </w:rPr>
        <w:t>penal charge</w:t>
      </w:r>
      <w:r w:rsidR="00B956D5" w:rsidRPr="004F50D4">
        <w:rPr>
          <w:rFonts w:asciiTheme="minorHAnsi" w:hAnsiTheme="minorHAnsi" w:cstheme="minorHAnsi"/>
          <w:sz w:val="22"/>
        </w:rPr>
        <w:t>(s)</w:t>
      </w:r>
      <w:r w:rsidRPr="004F50D4">
        <w:rPr>
          <w:rFonts w:asciiTheme="minorHAnsi" w:hAnsiTheme="minorHAnsi" w:cstheme="minorHAnsi"/>
          <w:sz w:val="22"/>
        </w:rPr>
        <w:t xml:space="preserve"> </w:t>
      </w:r>
      <w:r w:rsidR="00D40728" w:rsidRPr="004F50D4">
        <w:rPr>
          <w:rFonts w:asciiTheme="minorHAnsi" w:hAnsiTheme="minorHAnsi" w:cstheme="minorHAnsi"/>
          <w:sz w:val="22"/>
        </w:rPr>
        <w:t xml:space="preserve">the Bank will levy in applicable circumstances, </w:t>
      </w:r>
      <w:r w:rsidR="00B956D5" w:rsidRPr="004F50D4">
        <w:rPr>
          <w:rFonts w:asciiTheme="minorHAnsi" w:hAnsiTheme="minorHAnsi" w:cstheme="minorHAnsi"/>
          <w:sz w:val="22"/>
        </w:rPr>
        <w:t xml:space="preserve">are </w:t>
      </w:r>
      <w:r w:rsidRPr="004F50D4">
        <w:rPr>
          <w:rFonts w:asciiTheme="minorHAnsi" w:hAnsiTheme="minorHAnsi" w:cstheme="minorHAnsi"/>
          <w:sz w:val="22"/>
        </w:rPr>
        <w:t>not in the form of penal interest</w:t>
      </w:r>
      <w:r w:rsidR="00753E97">
        <w:rPr>
          <w:rFonts w:asciiTheme="minorHAnsi" w:hAnsiTheme="minorHAnsi" w:cstheme="minorHAnsi"/>
          <w:sz w:val="22"/>
        </w:rPr>
        <w:t xml:space="preserve"> or default interest</w:t>
      </w:r>
      <w:r w:rsidR="00D40728" w:rsidRPr="004F50D4">
        <w:rPr>
          <w:rFonts w:asciiTheme="minorHAnsi" w:hAnsiTheme="minorHAnsi" w:cstheme="minorHAnsi"/>
          <w:sz w:val="22"/>
        </w:rPr>
        <w:t>,</w:t>
      </w:r>
      <w:r w:rsidRPr="004F50D4">
        <w:rPr>
          <w:rFonts w:asciiTheme="minorHAnsi" w:hAnsiTheme="minorHAnsi" w:cstheme="minorHAnsi"/>
          <w:sz w:val="22"/>
        </w:rPr>
        <w:t xml:space="preserve"> and </w:t>
      </w:r>
      <w:r w:rsidR="00B956D5" w:rsidRPr="004F50D4">
        <w:rPr>
          <w:rFonts w:asciiTheme="minorHAnsi" w:hAnsiTheme="minorHAnsi" w:cstheme="minorHAnsi"/>
          <w:sz w:val="22"/>
        </w:rPr>
        <w:t xml:space="preserve">a </w:t>
      </w:r>
      <w:r w:rsidRPr="004F50D4">
        <w:rPr>
          <w:rFonts w:asciiTheme="minorHAnsi" w:hAnsiTheme="minorHAnsi" w:cstheme="minorHAnsi"/>
          <w:sz w:val="22"/>
        </w:rPr>
        <w:t xml:space="preserve">penal charge is not </w:t>
      </w:r>
      <w:proofErr w:type="gramStart"/>
      <w:r w:rsidRPr="004F50D4">
        <w:rPr>
          <w:rFonts w:asciiTheme="minorHAnsi" w:hAnsiTheme="minorHAnsi" w:cstheme="minorHAnsi"/>
          <w:sz w:val="22"/>
        </w:rPr>
        <w:t xml:space="preserve">added </w:t>
      </w:r>
      <w:r w:rsidR="00D40728" w:rsidRPr="004F50D4">
        <w:rPr>
          <w:rFonts w:asciiTheme="minorHAnsi" w:hAnsiTheme="minorHAnsi" w:cstheme="minorHAnsi"/>
          <w:sz w:val="22"/>
        </w:rPr>
        <w:t xml:space="preserve"> by</w:t>
      </w:r>
      <w:proofErr w:type="gramEnd"/>
      <w:r w:rsidR="00D40728" w:rsidRPr="004F50D4">
        <w:rPr>
          <w:rFonts w:asciiTheme="minorHAnsi" w:hAnsiTheme="minorHAnsi" w:cstheme="minorHAnsi"/>
          <w:sz w:val="22"/>
        </w:rPr>
        <w:t xml:space="preserve"> </w:t>
      </w:r>
      <w:r w:rsidR="008B1EBA">
        <w:rPr>
          <w:rFonts w:asciiTheme="minorHAnsi" w:hAnsiTheme="minorHAnsi" w:cstheme="minorHAnsi"/>
          <w:sz w:val="22"/>
        </w:rPr>
        <w:t xml:space="preserve">BILIL </w:t>
      </w:r>
      <w:r w:rsidRPr="004F50D4">
        <w:rPr>
          <w:rFonts w:asciiTheme="minorHAnsi" w:hAnsiTheme="minorHAnsi" w:cstheme="minorHAnsi"/>
          <w:sz w:val="22"/>
        </w:rPr>
        <w:t xml:space="preserve">to the rate of interest </w:t>
      </w:r>
      <w:r w:rsidR="008B1EBA">
        <w:rPr>
          <w:rFonts w:asciiTheme="minorHAnsi" w:hAnsiTheme="minorHAnsi" w:cstheme="minorHAnsi"/>
          <w:sz w:val="22"/>
        </w:rPr>
        <w:t xml:space="preserve">BILIL </w:t>
      </w:r>
      <w:r w:rsidR="00C05018" w:rsidRPr="004F50D4">
        <w:rPr>
          <w:rFonts w:asciiTheme="minorHAnsi" w:hAnsiTheme="minorHAnsi" w:cstheme="minorHAnsi"/>
          <w:sz w:val="22"/>
        </w:rPr>
        <w:t xml:space="preserve">charges on the loan, and that there is no additional component to the rate of interest </w:t>
      </w:r>
      <w:r w:rsidR="008B1EBA">
        <w:rPr>
          <w:rFonts w:asciiTheme="minorHAnsi" w:hAnsiTheme="minorHAnsi" w:cstheme="minorHAnsi"/>
          <w:sz w:val="22"/>
        </w:rPr>
        <w:t xml:space="preserve">BILIL </w:t>
      </w:r>
      <w:r w:rsidR="00C05018" w:rsidRPr="004F50D4">
        <w:rPr>
          <w:rFonts w:asciiTheme="minorHAnsi" w:hAnsiTheme="minorHAnsi" w:cstheme="minorHAnsi"/>
          <w:sz w:val="22"/>
        </w:rPr>
        <w:t>charges the Borrower on the loan.</w:t>
      </w:r>
    </w:p>
    <w:p w14:paraId="399B2219" w14:textId="77777777" w:rsidR="00F159DB" w:rsidRPr="004F50D4" w:rsidRDefault="00F159DB" w:rsidP="004F50D4">
      <w:pPr>
        <w:pStyle w:val="ListParagraph"/>
        <w:spacing w:after="0" w:line="240" w:lineRule="auto"/>
        <w:ind w:left="1440" w:right="233" w:hanging="720"/>
        <w:rPr>
          <w:rFonts w:asciiTheme="minorHAnsi" w:hAnsiTheme="minorHAnsi" w:cstheme="minorHAnsi"/>
          <w:sz w:val="22"/>
        </w:rPr>
      </w:pPr>
    </w:p>
    <w:p w14:paraId="0F77E9C8" w14:textId="02229479" w:rsidR="00D40728" w:rsidRPr="004F50D4" w:rsidRDefault="008B1EBA" w:rsidP="004F50D4">
      <w:pPr>
        <w:pStyle w:val="ListParagraph"/>
        <w:numPr>
          <w:ilvl w:val="0"/>
          <w:numId w:val="4"/>
        </w:numPr>
        <w:spacing w:after="0" w:line="240" w:lineRule="auto"/>
        <w:ind w:left="1440" w:right="233"/>
        <w:rPr>
          <w:rFonts w:asciiTheme="minorHAnsi" w:hAnsiTheme="minorHAnsi" w:cstheme="minorHAnsi"/>
          <w:sz w:val="22"/>
        </w:rPr>
      </w:pPr>
      <w:r>
        <w:rPr>
          <w:rFonts w:asciiTheme="minorHAnsi" w:hAnsiTheme="minorHAnsi" w:cstheme="minorHAnsi"/>
          <w:sz w:val="22"/>
        </w:rPr>
        <w:t xml:space="preserve">BILIL </w:t>
      </w:r>
      <w:r w:rsidR="00C05018" w:rsidRPr="004F50D4">
        <w:rPr>
          <w:rFonts w:asciiTheme="minorHAnsi" w:hAnsiTheme="minorHAnsi" w:cstheme="minorHAnsi"/>
          <w:sz w:val="22"/>
        </w:rPr>
        <w:t xml:space="preserve">does not capitalize the penal charge.  This does not affect the normal procedures </w:t>
      </w:r>
      <w:r>
        <w:rPr>
          <w:rFonts w:asciiTheme="minorHAnsi" w:hAnsiTheme="minorHAnsi" w:cstheme="minorHAnsi"/>
          <w:sz w:val="22"/>
        </w:rPr>
        <w:t xml:space="preserve">BILIL </w:t>
      </w:r>
      <w:r w:rsidR="00C05018" w:rsidRPr="004F50D4">
        <w:rPr>
          <w:rFonts w:asciiTheme="minorHAnsi" w:hAnsiTheme="minorHAnsi" w:cstheme="minorHAnsi"/>
          <w:sz w:val="22"/>
        </w:rPr>
        <w:t>applies for compounding of interest in the loan account.</w:t>
      </w:r>
    </w:p>
    <w:p w14:paraId="06506930" w14:textId="77777777" w:rsidR="00D40728" w:rsidRPr="004F50D4" w:rsidRDefault="00D40728" w:rsidP="004F50D4">
      <w:pPr>
        <w:spacing w:after="0" w:line="240" w:lineRule="auto"/>
        <w:ind w:left="1440" w:right="233" w:hanging="720"/>
        <w:rPr>
          <w:rFonts w:asciiTheme="minorHAnsi" w:hAnsiTheme="minorHAnsi" w:cstheme="minorHAnsi"/>
          <w:sz w:val="22"/>
        </w:rPr>
      </w:pPr>
    </w:p>
    <w:p w14:paraId="55E00D82" w14:textId="26AFC7A7" w:rsidR="0090387B" w:rsidRPr="004F50D4" w:rsidRDefault="001E067B" w:rsidP="004F50D4">
      <w:pPr>
        <w:pStyle w:val="ListParagraph"/>
        <w:numPr>
          <w:ilvl w:val="0"/>
          <w:numId w:val="4"/>
        </w:numPr>
        <w:spacing w:after="0" w:line="240" w:lineRule="auto"/>
        <w:ind w:left="1440"/>
        <w:rPr>
          <w:rFonts w:asciiTheme="minorHAnsi" w:hAnsiTheme="minorHAnsi" w:cstheme="minorHAnsi"/>
          <w:sz w:val="22"/>
        </w:rPr>
      </w:pPr>
      <w:r w:rsidRPr="004F50D4">
        <w:rPr>
          <w:rFonts w:asciiTheme="minorHAnsi" w:hAnsiTheme="minorHAnsi" w:cstheme="minorHAnsi"/>
          <w:sz w:val="22"/>
        </w:rPr>
        <w:t>g</w:t>
      </w:r>
      <w:r w:rsidR="00EB442A" w:rsidRPr="004F50D4">
        <w:rPr>
          <w:rFonts w:asciiTheme="minorHAnsi" w:hAnsiTheme="minorHAnsi" w:cstheme="minorHAnsi"/>
          <w:sz w:val="22"/>
        </w:rPr>
        <w:t>iven the nature and purpose of the loan, t</w:t>
      </w:r>
      <w:r w:rsidR="00F159DB" w:rsidRPr="004F50D4">
        <w:rPr>
          <w:rFonts w:asciiTheme="minorHAnsi" w:hAnsiTheme="minorHAnsi" w:cstheme="minorHAnsi"/>
          <w:sz w:val="22"/>
        </w:rPr>
        <w:t xml:space="preserve">he quantum of </w:t>
      </w:r>
      <w:r w:rsidR="00EB442A" w:rsidRPr="004F50D4">
        <w:rPr>
          <w:rFonts w:asciiTheme="minorHAnsi" w:hAnsiTheme="minorHAnsi" w:cstheme="minorHAnsi"/>
          <w:sz w:val="22"/>
        </w:rPr>
        <w:t xml:space="preserve">the </w:t>
      </w:r>
      <w:r w:rsidR="00F159DB" w:rsidRPr="004F50D4">
        <w:rPr>
          <w:rFonts w:asciiTheme="minorHAnsi" w:hAnsiTheme="minorHAnsi" w:cstheme="minorHAnsi"/>
          <w:sz w:val="22"/>
        </w:rPr>
        <w:t>penal charge</w:t>
      </w:r>
      <w:r w:rsidR="00B956D5" w:rsidRPr="004F50D4">
        <w:rPr>
          <w:rFonts w:asciiTheme="minorHAnsi" w:hAnsiTheme="minorHAnsi" w:cstheme="minorHAnsi"/>
          <w:sz w:val="22"/>
        </w:rPr>
        <w:t>(s)</w:t>
      </w:r>
      <w:r w:rsidR="00EB442A" w:rsidRPr="004F50D4">
        <w:rPr>
          <w:rFonts w:asciiTheme="minorHAnsi" w:hAnsiTheme="minorHAnsi" w:cstheme="minorHAnsi"/>
          <w:sz w:val="22"/>
        </w:rPr>
        <w:t xml:space="preserve"> that </w:t>
      </w:r>
      <w:r w:rsidR="008B1EBA">
        <w:rPr>
          <w:rFonts w:asciiTheme="minorHAnsi" w:hAnsiTheme="minorHAnsi" w:cstheme="minorHAnsi"/>
          <w:sz w:val="22"/>
        </w:rPr>
        <w:t xml:space="preserve">BILIL </w:t>
      </w:r>
      <w:r w:rsidR="00EB442A" w:rsidRPr="004F50D4">
        <w:rPr>
          <w:rFonts w:asciiTheme="minorHAnsi" w:hAnsiTheme="minorHAnsi" w:cstheme="minorHAnsi"/>
          <w:sz w:val="22"/>
        </w:rPr>
        <w:t xml:space="preserve">may apply in the </w:t>
      </w:r>
      <w:r w:rsidR="0090387B" w:rsidRPr="004F50D4">
        <w:rPr>
          <w:rFonts w:asciiTheme="minorHAnsi" w:hAnsiTheme="minorHAnsi" w:cstheme="minorHAnsi"/>
          <w:sz w:val="22"/>
        </w:rPr>
        <w:t xml:space="preserve">applicable </w:t>
      </w:r>
      <w:r w:rsidR="00EB442A" w:rsidRPr="004F50D4">
        <w:rPr>
          <w:rFonts w:asciiTheme="minorHAnsi" w:hAnsiTheme="minorHAnsi" w:cstheme="minorHAnsi"/>
          <w:sz w:val="22"/>
        </w:rPr>
        <w:t xml:space="preserve">circumstances </w:t>
      </w:r>
      <w:proofErr w:type="gramStart"/>
      <w:r w:rsidR="00EB442A" w:rsidRPr="004F50D4">
        <w:rPr>
          <w:rFonts w:asciiTheme="minorHAnsi" w:hAnsiTheme="minorHAnsi" w:cstheme="minorHAnsi"/>
          <w:sz w:val="22"/>
        </w:rPr>
        <w:t xml:space="preserve">is </w:t>
      </w:r>
      <w:r w:rsidR="00F159DB" w:rsidRPr="004F50D4">
        <w:rPr>
          <w:rFonts w:asciiTheme="minorHAnsi" w:hAnsiTheme="minorHAnsi" w:cstheme="minorHAnsi"/>
          <w:sz w:val="22"/>
        </w:rPr>
        <w:t xml:space="preserve"> reasonable</w:t>
      </w:r>
      <w:proofErr w:type="gramEnd"/>
      <w:r w:rsidR="00F159DB" w:rsidRPr="004F50D4">
        <w:rPr>
          <w:rFonts w:asciiTheme="minorHAnsi" w:hAnsiTheme="minorHAnsi" w:cstheme="minorHAnsi"/>
          <w:sz w:val="22"/>
        </w:rPr>
        <w:t xml:space="preserve">, and </w:t>
      </w:r>
      <w:r w:rsidR="0090387B" w:rsidRPr="004F50D4">
        <w:rPr>
          <w:rFonts w:asciiTheme="minorHAnsi" w:hAnsiTheme="minorHAnsi" w:cstheme="minorHAnsi"/>
          <w:sz w:val="22"/>
        </w:rPr>
        <w:t xml:space="preserve">is </w:t>
      </w:r>
      <w:r w:rsidR="00F159DB" w:rsidRPr="004F50D4">
        <w:rPr>
          <w:rFonts w:asciiTheme="minorHAnsi" w:hAnsiTheme="minorHAnsi" w:cstheme="minorHAnsi"/>
          <w:sz w:val="22"/>
        </w:rPr>
        <w:t xml:space="preserve">commensurate with the </w:t>
      </w:r>
      <w:r w:rsidR="00F159DB" w:rsidRPr="004F50D4">
        <w:rPr>
          <w:rFonts w:asciiTheme="minorHAnsi" w:hAnsiTheme="minorHAnsi" w:cstheme="minorHAnsi"/>
          <w:sz w:val="22"/>
        </w:rPr>
        <w:lastRenderedPageBreak/>
        <w:t xml:space="preserve">non-compliance </w:t>
      </w:r>
      <w:r w:rsidR="0090387B" w:rsidRPr="004F50D4">
        <w:rPr>
          <w:rFonts w:asciiTheme="minorHAnsi" w:hAnsiTheme="minorHAnsi" w:cstheme="minorHAnsi"/>
          <w:sz w:val="22"/>
        </w:rPr>
        <w:t xml:space="preserve">by the Borrower with any or all of the </w:t>
      </w:r>
      <w:r w:rsidR="00F159DB" w:rsidRPr="004F50D4">
        <w:rPr>
          <w:rFonts w:asciiTheme="minorHAnsi" w:hAnsiTheme="minorHAnsi" w:cstheme="minorHAnsi"/>
          <w:sz w:val="22"/>
        </w:rPr>
        <w:t xml:space="preserve">material terms and conditions of the </w:t>
      </w:r>
      <w:r w:rsidR="00EB442A" w:rsidRPr="004F50D4">
        <w:rPr>
          <w:rFonts w:asciiTheme="minorHAnsi" w:hAnsiTheme="minorHAnsi" w:cstheme="minorHAnsi"/>
          <w:sz w:val="22"/>
        </w:rPr>
        <w:t>Agreement</w:t>
      </w:r>
      <w:r w:rsidR="00F159DB" w:rsidRPr="004F50D4">
        <w:rPr>
          <w:rFonts w:asciiTheme="minorHAnsi" w:hAnsiTheme="minorHAnsi" w:cstheme="minorHAnsi"/>
          <w:sz w:val="22"/>
        </w:rPr>
        <w:t xml:space="preserve">, </w:t>
      </w:r>
      <w:r w:rsidR="00EB442A" w:rsidRPr="004F50D4">
        <w:rPr>
          <w:rFonts w:asciiTheme="minorHAnsi" w:hAnsiTheme="minorHAnsi" w:cstheme="minorHAnsi"/>
          <w:sz w:val="22"/>
        </w:rPr>
        <w:t xml:space="preserve">and is not </w:t>
      </w:r>
      <w:r w:rsidR="00F159DB" w:rsidRPr="004F50D4">
        <w:rPr>
          <w:rFonts w:asciiTheme="minorHAnsi" w:hAnsiTheme="minorHAnsi" w:cstheme="minorHAnsi"/>
          <w:sz w:val="22"/>
        </w:rPr>
        <w:t>discriminatory within a particular loan/product category</w:t>
      </w:r>
      <w:r w:rsidR="00EB442A" w:rsidRPr="004F50D4">
        <w:rPr>
          <w:rFonts w:asciiTheme="minorHAnsi" w:hAnsiTheme="minorHAnsi" w:cstheme="minorHAnsi"/>
          <w:sz w:val="22"/>
        </w:rPr>
        <w:t xml:space="preserve"> provided by </w:t>
      </w:r>
      <w:r w:rsidR="008B1EBA">
        <w:rPr>
          <w:rFonts w:asciiTheme="minorHAnsi" w:hAnsiTheme="minorHAnsi" w:cstheme="minorHAnsi"/>
          <w:sz w:val="22"/>
        </w:rPr>
        <w:t xml:space="preserve">BILIL </w:t>
      </w:r>
      <w:r w:rsidR="00EB442A" w:rsidRPr="004F50D4">
        <w:rPr>
          <w:rFonts w:asciiTheme="minorHAnsi" w:hAnsiTheme="minorHAnsi" w:cstheme="minorHAnsi"/>
          <w:sz w:val="22"/>
        </w:rPr>
        <w:t>to its customers</w:t>
      </w:r>
      <w:r w:rsidR="00F159DB" w:rsidRPr="004F50D4">
        <w:rPr>
          <w:rFonts w:asciiTheme="minorHAnsi" w:hAnsiTheme="minorHAnsi" w:cstheme="minorHAnsi"/>
          <w:sz w:val="22"/>
        </w:rPr>
        <w:t>.</w:t>
      </w:r>
      <w:r w:rsidR="0090387B" w:rsidRPr="004F50D4">
        <w:rPr>
          <w:rFonts w:asciiTheme="minorHAnsi" w:hAnsiTheme="minorHAnsi" w:cstheme="minorHAnsi"/>
          <w:sz w:val="22"/>
        </w:rPr>
        <w:t xml:space="preserve"> </w:t>
      </w:r>
    </w:p>
    <w:p w14:paraId="0F73217A" w14:textId="77777777" w:rsidR="0090387B" w:rsidRPr="004F50D4" w:rsidRDefault="0090387B" w:rsidP="004F50D4">
      <w:pPr>
        <w:spacing w:after="0" w:line="240" w:lineRule="auto"/>
        <w:ind w:left="1440" w:hanging="720"/>
        <w:rPr>
          <w:rFonts w:asciiTheme="minorHAnsi" w:hAnsiTheme="minorHAnsi" w:cstheme="minorHAnsi"/>
          <w:sz w:val="22"/>
        </w:rPr>
      </w:pPr>
    </w:p>
    <w:p w14:paraId="4ED7F25A" w14:textId="7E346415" w:rsidR="00F159DB" w:rsidRPr="004F50D4" w:rsidRDefault="001E067B" w:rsidP="004F50D4">
      <w:pPr>
        <w:pStyle w:val="ListParagraph"/>
        <w:numPr>
          <w:ilvl w:val="0"/>
          <w:numId w:val="4"/>
        </w:numPr>
        <w:spacing w:after="0" w:line="240" w:lineRule="auto"/>
        <w:ind w:left="1440"/>
        <w:rPr>
          <w:rFonts w:asciiTheme="minorHAnsi" w:hAnsiTheme="minorHAnsi" w:cstheme="minorHAnsi"/>
          <w:sz w:val="22"/>
        </w:rPr>
      </w:pPr>
      <w:r w:rsidRPr="004F50D4">
        <w:rPr>
          <w:rFonts w:asciiTheme="minorHAnsi" w:hAnsiTheme="minorHAnsi" w:cstheme="minorHAnsi"/>
          <w:sz w:val="22"/>
        </w:rPr>
        <w:t>t</w:t>
      </w:r>
      <w:r w:rsidR="0090387B" w:rsidRPr="004F50D4">
        <w:rPr>
          <w:rFonts w:asciiTheme="minorHAnsi" w:hAnsiTheme="minorHAnsi" w:cstheme="minorHAnsi"/>
          <w:sz w:val="22"/>
        </w:rPr>
        <w:t>he quantum and reason for the penal charge</w:t>
      </w:r>
      <w:r w:rsidR="00B956D5" w:rsidRPr="004F50D4">
        <w:rPr>
          <w:rFonts w:asciiTheme="minorHAnsi" w:hAnsiTheme="minorHAnsi" w:cstheme="minorHAnsi"/>
          <w:sz w:val="22"/>
        </w:rPr>
        <w:t>(s)</w:t>
      </w:r>
      <w:r w:rsidR="0090387B" w:rsidRPr="004F50D4">
        <w:rPr>
          <w:rFonts w:asciiTheme="minorHAnsi" w:hAnsiTheme="minorHAnsi" w:cstheme="minorHAnsi"/>
          <w:sz w:val="22"/>
        </w:rPr>
        <w:t xml:space="preserve"> are </w:t>
      </w:r>
      <w:r w:rsidR="00B956D5" w:rsidRPr="004F50D4">
        <w:rPr>
          <w:rFonts w:asciiTheme="minorHAnsi" w:hAnsiTheme="minorHAnsi" w:cstheme="minorHAnsi"/>
          <w:sz w:val="22"/>
        </w:rPr>
        <w:t xml:space="preserve">herein </w:t>
      </w:r>
      <w:r w:rsidR="0090387B" w:rsidRPr="004F50D4">
        <w:rPr>
          <w:rFonts w:asciiTheme="minorHAnsi" w:hAnsiTheme="minorHAnsi" w:cstheme="minorHAnsi"/>
          <w:sz w:val="22"/>
        </w:rPr>
        <w:t xml:space="preserve">clearly disclosed by </w:t>
      </w:r>
      <w:r w:rsidR="008B1EBA">
        <w:rPr>
          <w:rFonts w:asciiTheme="minorHAnsi" w:hAnsiTheme="minorHAnsi" w:cstheme="minorHAnsi"/>
          <w:sz w:val="22"/>
        </w:rPr>
        <w:t xml:space="preserve">BILIL </w:t>
      </w:r>
      <w:r w:rsidR="0090387B" w:rsidRPr="004F50D4">
        <w:rPr>
          <w:rFonts w:asciiTheme="minorHAnsi" w:hAnsiTheme="minorHAnsi" w:cstheme="minorHAnsi"/>
          <w:sz w:val="22"/>
        </w:rPr>
        <w:t>in this Agreement</w:t>
      </w:r>
      <w:r w:rsidR="00B956D5" w:rsidRPr="004F50D4">
        <w:rPr>
          <w:rFonts w:asciiTheme="minorHAnsi" w:hAnsiTheme="minorHAnsi" w:cstheme="minorHAnsi"/>
          <w:sz w:val="22"/>
        </w:rPr>
        <w:t xml:space="preserve"> </w:t>
      </w:r>
      <w:r w:rsidR="0090387B" w:rsidRPr="004F50D4">
        <w:rPr>
          <w:rFonts w:asciiTheme="minorHAnsi" w:hAnsiTheme="minorHAnsi" w:cstheme="minorHAnsi"/>
          <w:sz w:val="22"/>
        </w:rPr>
        <w:t xml:space="preserve">and, where applicable, in </w:t>
      </w:r>
      <w:r w:rsidR="008B1EBA">
        <w:rPr>
          <w:rFonts w:asciiTheme="minorHAnsi" w:hAnsiTheme="minorHAnsi" w:cstheme="minorHAnsi"/>
          <w:sz w:val="22"/>
        </w:rPr>
        <w:t xml:space="preserve">BILIL’s </w:t>
      </w:r>
      <w:r w:rsidR="0090387B" w:rsidRPr="000C1C2A">
        <w:rPr>
          <w:rFonts w:asciiTheme="minorHAnsi" w:hAnsiTheme="minorHAnsi" w:cstheme="minorHAnsi"/>
          <w:sz w:val="22"/>
        </w:rPr>
        <w:t xml:space="preserve">most important </w:t>
      </w:r>
      <w:r w:rsidR="0010281C" w:rsidRPr="000C1C2A">
        <w:rPr>
          <w:rFonts w:asciiTheme="minorHAnsi" w:hAnsiTheme="minorHAnsi" w:cstheme="minorHAnsi"/>
          <w:sz w:val="22"/>
        </w:rPr>
        <w:t xml:space="preserve">lending </w:t>
      </w:r>
      <w:r w:rsidR="0090387B" w:rsidRPr="000C1C2A">
        <w:rPr>
          <w:rFonts w:asciiTheme="minorHAnsi" w:hAnsiTheme="minorHAnsi" w:cstheme="minorHAnsi"/>
          <w:sz w:val="22"/>
        </w:rPr>
        <w:t>terms &amp; conditions.</w:t>
      </w:r>
    </w:p>
    <w:p w14:paraId="4D7946E7" w14:textId="77777777" w:rsidR="00F159DB" w:rsidRPr="004F50D4" w:rsidRDefault="00F159DB" w:rsidP="004F50D4">
      <w:pPr>
        <w:spacing w:after="0" w:line="240" w:lineRule="auto"/>
        <w:ind w:left="1440" w:hanging="720"/>
        <w:rPr>
          <w:rFonts w:asciiTheme="minorHAnsi" w:hAnsiTheme="minorHAnsi" w:cstheme="minorHAnsi"/>
          <w:sz w:val="22"/>
        </w:rPr>
      </w:pPr>
    </w:p>
    <w:p w14:paraId="40A1EE73" w14:textId="5D03848B" w:rsidR="00B3132C" w:rsidRPr="004F50D4" w:rsidRDefault="001E067B" w:rsidP="004F50D4">
      <w:pPr>
        <w:pStyle w:val="ListParagraph"/>
        <w:numPr>
          <w:ilvl w:val="0"/>
          <w:numId w:val="4"/>
        </w:numPr>
        <w:spacing w:after="0" w:line="240" w:lineRule="auto"/>
        <w:ind w:left="1440"/>
        <w:rPr>
          <w:rFonts w:asciiTheme="minorHAnsi" w:hAnsiTheme="minorHAnsi" w:cstheme="minorHAnsi"/>
          <w:sz w:val="22"/>
        </w:rPr>
      </w:pPr>
      <w:r w:rsidRPr="004F50D4">
        <w:rPr>
          <w:rFonts w:asciiTheme="minorHAnsi" w:hAnsiTheme="minorHAnsi" w:cstheme="minorHAnsi"/>
          <w:sz w:val="22"/>
        </w:rPr>
        <w:t>t</w:t>
      </w:r>
      <w:r w:rsidR="00F159DB" w:rsidRPr="004F50D4">
        <w:rPr>
          <w:rFonts w:asciiTheme="minorHAnsi" w:hAnsiTheme="minorHAnsi" w:cstheme="minorHAnsi"/>
          <w:sz w:val="22"/>
        </w:rPr>
        <w:t xml:space="preserve">he </w:t>
      </w:r>
      <w:r w:rsidR="0046022C" w:rsidRPr="004F50D4">
        <w:rPr>
          <w:rFonts w:asciiTheme="minorHAnsi" w:hAnsiTheme="minorHAnsi" w:cstheme="minorHAnsi"/>
          <w:sz w:val="22"/>
        </w:rPr>
        <w:t xml:space="preserve">applicable </w:t>
      </w:r>
      <w:r w:rsidR="00F159DB" w:rsidRPr="004F50D4">
        <w:rPr>
          <w:rFonts w:asciiTheme="minorHAnsi" w:hAnsiTheme="minorHAnsi" w:cstheme="minorHAnsi"/>
          <w:sz w:val="22"/>
        </w:rPr>
        <w:t>penal charge</w:t>
      </w:r>
      <w:r w:rsidR="00B956D5" w:rsidRPr="004F50D4">
        <w:rPr>
          <w:rFonts w:asciiTheme="minorHAnsi" w:hAnsiTheme="minorHAnsi" w:cstheme="minorHAnsi"/>
          <w:sz w:val="22"/>
        </w:rPr>
        <w:t>(</w:t>
      </w:r>
      <w:r w:rsidR="00F159DB" w:rsidRPr="004F50D4">
        <w:rPr>
          <w:rFonts w:asciiTheme="minorHAnsi" w:hAnsiTheme="minorHAnsi" w:cstheme="minorHAnsi"/>
          <w:sz w:val="22"/>
        </w:rPr>
        <w:t>s</w:t>
      </w:r>
      <w:r w:rsidR="00B956D5" w:rsidRPr="004F50D4">
        <w:rPr>
          <w:rFonts w:asciiTheme="minorHAnsi" w:hAnsiTheme="minorHAnsi" w:cstheme="minorHAnsi"/>
          <w:sz w:val="22"/>
        </w:rPr>
        <w:t>)</w:t>
      </w:r>
      <w:r w:rsidR="0090387B" w:rsidRPr="004F50D4">
        <w:rPr>
          <w:rFonts w:asciiTheme="minorHAnsi" w:hAnsiTheme="minorHAnsi" w:cstheme="minorHAnsi"/>
          <w:sz w:val="22"/>
        </w:rPr>
        <w:t xml:space="preserve">, as maybe amended by </w:t>
      </w:r>
      <w:r w:rsidR="008B1EBA">
        <w:rPr>
          <w:rFonts w:asciiTheme="minorHAnsi" w:hAnsiTheme="minorHAnsi" w:cstheme="minorHAnsi"/>
          <w:sz w:val="22"/>
        </w:rPr>
        <w:t xml:space="preserve">BILIL </w:t>
      </w:r>
      <w:r w:rsidR="0090387B" w:rsidRPr="004F50D4">
        <w:rPr>
          <w:rFonts w:asciiTheme="minorHAnsi" w:hAnsiTheme="minorHAnsi" w:cstheme="minorHAnsi"/>
          <w:sz w:val="22"/>
        </w:rPr>
        <w:t xml:space="preserve">from time to time (with written notice to the Borrower of the amendments that are made by </w:t>
      </w:r>
      <w:r w:rsidR="008B1EBA">
        <w:rPr>
          <w:rFonts w:asciiTheme="minorHAnsi" w:hAnsiTheme="minorHAnsi" w:cstheme="minorHAnsi"/>
          <w:sz w:val="22"/>
        </w:rPr>
        <w:t>BILIL</w:t>
      </w:r>
      <w:r w:rsidR="0090387B" w:rsidRPr="004F50D4">
        <w:rPr>
          <w:rFonts w:asciiTheme="minorHAnsi" w:hAnsiTheme="minorHAnsi" w:cstheme="minorHAnsi"/>
          <w:sz w:val="22"/>
        </w:rPr>
        <w:t xml:space="preserve">), </w:t>
      </w:r>
      <w:r w:rsidR="00F159DB" w:rsidRPr="004F50D4">
        <w:rPr>
          <w:rFonts w:asciiTheme="minorHAnsi" w:hAnsiTheme="minorHAnsi" w:cstheme="minorHAnsi"/>
          <w:sz w:val="22"/>
        </w:rPr>
        <w:t xml:space="preserve">are displayed on </w:t>
      </w:r>
      <w:r w:rsidR="008B1EBA">
        <w:rPr>
          <w:rFonts w:asciiTheme="minorHAnsi" w:hAnsiTheme="minorHAnsi" w:cstheme="minorHAnsi"/>
          <w:sz w:val="22"/>
        </w:rPr>
        <w:t xml:space="preserve">BILIL’s </w:t>
      </w:r>
      <w:r w:rsidR="00F159DB" w:rsidRPr="004F50D4">
        <w:rPr>
          <w:rFonts w:asciiTheme="minorHAnsi" w:hAnsiTheme="minorHAnsi" w:cstheme="minorHAnsi"/>
          <w:sz w:val="22"/>
        </w:rPr>
        <w:t xml:space="preserve">website under the link for </w:t>
      </w:r>
      <w:r w:rsidR="00B07D12">
        <w:rPr>
          <w:rFonts w:asciiTheme="minorHAnsi" w:hAnsiTheme="minorHAnsi" w:cstheme="minorHAnsi"/>
          <w:sz w:val="22"/>
        </w:rPr>
        <w:t>the policy of Fair Lending Practice – Penal Charges in Credit Accounts</w:t>
      </w:r>
      <w:r w:rsidR="00F159DB" w:rsidRPr="004F50D4">
        <w:rPr>
          <w:rFonts w:asciiTheme="minorHAnsi" w:hAnsiTheme="minorHAnsi" w:cstheme="minorHAnsi"/>
          <w:sz w:val="22"/>
        </w:rPr>
        <w:t>.</w:t>
      </w:r>
    </w:p>
    <w:p w14:paraId="1F458626" w14:textId="77777777" w:rsidR="00B3132C" w:rsidRPr="004F50D4" w:rsidRDefault="00B3132C" w:rsidP="004F50D4">
      <w:pPr>
        <w:spacing w:after="0" w:line="240" w:lineRule="auto"/>
        <w:ind w:left="1440" w:hanging="720"/>
        <w:rPr>
          <w:rFonts w:asciiTheme="minorHAnsi" w:hAnsiTheme="minorHAnsi" w:cstheme="minorHAnsi"/>
          <w:sz w:val="22"/>
        </w:rPr>
      </w:pPr>
    </w:p>
    <w:p w14:paraId="49382783" w14:textId="5949A34F" w:rsidR="00F159DB" w:rsidRPr="004F50D4" w:rsidRDefault="001E067B" w:rsidP="004F50D4">
      <w:pPr>
        <w:numPr>
          <w:ilvl w:val="0"/>
          <w:numId w:val="4"/>
        </w:numPr>
        <w:spacing w:after="0" w:line="240" w:lineRule="auto"/>
        <w:ind w:left="1440"/>
        <w:rPr>
          <w:rFonts w:asciiTheme="minorHAnsi" w:hAnsiTheme="minorHAnsi" w:cstheme="minorHAnsi"/>
          <w:sz w:val="22"/>
        </w:rPr>
      </w:pPr>
      <w:r w:rsidRPr="004F50D4">
        <w:rPr>
          <w:rFonts w:asciiTheme="minorHAnsi" w:hAnsiTheme="minorHAnsi" w:cstheme="minorHAnsi"/>
          <w:sz w:val="22"/>
        </w:rPr>
        <w:t>w</w:t>
      </w:r>
      <w:r w:rsidR="00B3132C" w:rsidRPr="004F50D4">
        <w:rPr>
          <w:rFonts w:asciiTheme="minorHAnsi" w:hAnsiTheme="minorHAnsi" w:cstheme="minorHAnsi"/>
          <w:sz w:val="22"/>
        </w:rPr>
        <w:t xml:space="preserve">henever </w:t>
      </w:r>
      <w:bookmarkStart w:id="20" w:name="_Hlk148598874"/>
      <w:r w:rsidR="00B3132C" w:rsidRPr="004F50D4">
        <w:rPr>
          <w:rFonts w:asciiTheme="minorHAnsi" w:hAnsiTheme="minorHAnsi" w:cstheme="minorHAnsi"/>
          <w:sz w:val="22"/>
        </w:rPr>
        <w:t>reminders for non-compliance of material terms and conditions of loan are sent to the Borrower, the applicable penal charge</w:t>
      </w:r>
      <w:r w:rsidR="00B956D5" w:rsidRPr="004F50D4">
        <w:rPr>
          <w:rFonts w:asciiTheme="minorHAnsi" w:hAnsiTheme="minorHAnsi" w:cstheme="minorHAnsi"/>
          <w:sz w:val="22"/>
        </w:rPr>
        <w:t>(</w:t>
      </w:r>
      <w:r w:rsidR="00B3132C" w:rsidRPr="004F50D4">
        <w:rPr>
          <w:rFonts w:asciiTheme="minorHAnsi" w:hAnsiTheme="minorHAnsi" w:cstheme="minorHAnsi"/>
          <w:sz w:val="22"/>
        </w:rPr>
        <w:t>s</w:t>
      </w:r>
      <w:r w:rsidR="00B956D5" w:rsidRPr="004F50D4">
        <w:rPr>
          <w:rFonts w:asciiTheme="minorHAnsi" w:hAnsiTheme="minorHAnsi" w:cstheme="minorHAnsi"/>
          <w:sz w:val="22"/>
        </w:rPr>
        <w:t>)</w:t>
      </w:r>
      <w:r w:rsidR="00B3132C" w:rsidRPr="004F50D4">
        <w:rPr>
          <w:rFonts w:asciiTheme="minorHAnsi" w:hAnsiTheme="minorHAnsi" w:cstheme="minorHAnsi"/>
          <w:sz w:val="22"/>
        </w:rPr>
        <w:t xml:space="preserve"> will be communicated by </w:t>
      </w:r>
      <w:r w:rsidR="008B1EBA">
        <w:rPr>
          <w:rFonts w:asciiTheme="minorHAnsi" w:hAnsiTheme="minorHAnsi" w:cstheme="minorHAnsi"/>
          <w:sz w:val="22"/>
        </w:rPr>
        <w:t>BILIL</w:t>
      </w:r>
      <w:bookmarkEnd w:id="20"/>
      <w:r w:rsidR="00B3132C" w:rsidRPr="004F50D4">
        <w:rPr>
          <w:rFonts w:asciiTheme="minorHAnsi" w:hAnsiTheme="minorHAnsi" w:cstheme="minorHAnsi"/>
          <w:sz w:val="22"/>
        </w:rPr>
        <w:t>. Any instance of levy of penal charges and the reason(s) therefor</w:t>
      </w:r>
      <w:r w:rsidR="00B07D12">
        <w:rPr>
          <w:rFonts w:asciiTheme="minorHAnsi" w:hAnsiTheme="minorHAnsi" w:cstheme="minorHAnsi"/>
          <w:sz w:val="22"/>
        </w:rPr>
        <w:t>e</w:t>
      </w:r>
      <w:r w:rsidR="00B3132C" w:rsidRPr="004F50D4">
        <w:rPr>
          <w:rFonts w:asciiTheme="minorHAnsi" w:hAnsiTheme="minorHAnsi" w:cstheme="minorHAnsi"/>
          <w:sz w:val="22"/>
        </w:rPr>
        <w:t xml:space="preserve"> shall also be communicated by </w:t>
      </w:r>
      <w:r w:rsidR="008B1EBA">
        <w:rPr>
          <w:rFonts w:asciiTheme="minorHAnsi" w:hAnsiTheme="minorHAnsi" w:cstheme="minorHAnsi"/>
          <w:sz w:val="22"/>
        </w:rPr>
        <w:t xml:space="preserve">BILIL </w:t>
      </w:r>
      <w:r w:rsidR="00B3132C" w:rsidRPr="004F50D4">
        <w:rPr>
          <w:rFonts w:asciiTheme="minorHAnsi" w:hAnsiTheme="minorHAnsi" w:cstheme="minorHAnsi"/>
          <w:sz w:val="22"/>
        </w:rPr>
        <w:t>to the Borrower.</w:t>
      </w:r>
      <w:r w:rsidR="0090387B" w:rsidRPr="004F50D4">
        <w:rPr>
          <w:rFonts w:asciiTheme="minorHAnsi" w:hAnsiTheme="minorHAnsi" w:cstheme="minorHAnsi"/>
          <w:sz w:val="22"/>
        </w:rPr>
        <w:t>”</w:t>
      </w:r>
    </w:p>
    <w:p w14:paraId="0A509FEA" w14:textId="77777777" w:rsidR="00F159DB" w:rsidRPr="004F50D4" w:rsidRDefault="00F159DB" w:rsidP="004F50D4">
      <w:pPr>
        <w:pStyle w:val="ListParagraph"/>
        <w:spacing w:after="0" w:line="240" w:lineRule="auto"/>
        <w:ind w:hanging="720"/>
        <w:rPr>
          <w:rFonts w:asciiTheme="minorHAnsi" w:hAnsiTheme="minorHAnsi" w:cstheme="minorHAnsi"/>
          <w:sz w:val="22"/>
        </w:rPr>
      </w:pPr>
    </w:p>
    <w:p w14:paraId="521386E2" w14:textId="58AAAD91" w:rsidR="00FF2825" w:rsidRPr="004F50D4" w:rsidRDefault="00FF2825" w:rsidP="004F50D4">
      <w:pPr>
        <w:spacing w:after="0" w:line="240" w:lineRule="auto"/>
        <w:ind w:left="720" w:firstLine="0"/>
        <w:rPr>
          <w:rFonts w:asciiTheme="minorHAnsi" w:hAnsiTheme="minorHAnsi" w:cstheme="minorHAnsi"/>
          <w:sz w:val="22"/>
        </w:rPr>
      </w:pPr>
      <w:r w:rsidRPr="004F50D4">
        <w:rPr>
          <w:rFonts w:asciiTheme="minorHAnsi" w:hAnsiTheme="minorHAnsi" w:cstheme="minorHAnsi"/>
          <w:b/>
          <w:sz w:val="22"/>
        </w:rPr>
        <w:t>In existing contracts that have reference to penal</w:t>
      </w:r>
      <w:r w:rsidR="00BA087F">
        <w:rPr>
          <w:rFonts w:asciiTheme="minorHAnsi" w:hAnsiTheme="minorHAnsi" w:cstheme="minorHAnsi"/>
          <w:b/>
          <w:sz w:val="22"/>
        </w:rPr>
        <w:t xml:space="preserve">/default </w:t>
      </w:r>
      <w:r w:rsidRPr="004F50D4">
        <w:rPr>
          <w:rFonts w:asciiTheme="minorHAnsi" w:hAnsiTheme="minorHAnsi" w:cstheme="minorHAnsi"/>
          <w:b/>
          <w:sz w:val="22"/>
        </w:rPr>
        <w:t>interest, the following would be considered as an addition to the above</w:t>
      </w:r>
      <w:r w:rsidRPr="004F50D4">
        <w:rPr>
          <w:rFonts w:asciiTheme="minorHAnsi" w:hAnsiTheme="minorHAnsi" w:cstheme="minorHAnsi"/>
          <w:sz w:val="22"/>
        </w:rPr>
        <w:t>:</w:t>
      </w:r>
    </w:p>
    <w:p w14:paraId="522A72C1" w14:textId="77777777" w:rsidR="00CD643B" w:rsidRPr="004F50D4" w:rsidRDefault="00CD643B" w:rsidP="004F50D4">
      <w:pPr>
        <w:spacing w:after="0" w:line="240" w:lineRule="auto"/>
        <w:ind w:left="720" w:firstLine="0"/>
        <w:rPr>
          <w:rFonts w:asciiTheme="minorHAnsi" w:hAnsiTheme="minorHAnsi" w:cstheme="minorHAnsi"/>
          <w:sz w:val="22"/>
        </w:rPr>
      </w:pPr>
    </w:p>
    <w:p w14:paraId="41812A1C" w14:textId="55EDA3E4" w:rsidR="00F159DB" w:rsidRPr="004F50D4" w:rsidRDefault="00FF2825" w:rsidP="004F50D4">
      <w:pPr>
        <w:spacing w:after="0" w:line="240" w:lineRule="auto"/>
        <w:ind w:left="720" w:firstLine="0"/>
        <w:rPr>
          <w:rFonts w:asciiTheme="minorHAnsi" w:hAnsiTheme="minorHAnsi" w:cstheme="minorHAnsi"/>
          <w:sz w:val="22"/>
        </w:rPr>
      </w:pPr>
      <w:r w:rsidRPr="004F50D4">
        <w:rPr>
          <w:rFonts w:asciiTheme="minorHAnsi" w:hAnsiTheme="minorHAnsi" w:cstheme="minorHAnsi"/>
          <w:sz w:val="22"/>
        </w:rPr>
        <w:t>“All references in this Agreement to penal interest</w:t>
      </w:r>
      <w:r w:rsidR="00BA087F">
        <w:rPr>
          <w:rFonts w:asciiTheme="minorHAnsi" w:hAnsiTheme="minorHAnsi" w:cstheme="minorHAnsi"/>
          <w:sz w:val="22"/>
        </w:rPr>
        <w:t xml:space="preserve"> or default interest </w:t>
      </w:r>
      <w:r w:rsidRPr="004F50D4">
        <w:rPr>
          <w:rFonts w:asciiTheme="minorHAnsi" w:hAnsiTheme="minorHAnsi" w:cstheme="minorHAnsi"/>
          <w:sz w:val="22"/>
        </w:rPr>
        <w:t xml:space="preserve">are of no </w:t>
      </w:r>
      <w:r w:rsidR="00CD643B" w:rsidRPr="004F50D4">
        <w:rPr>
          <w:rFonts w:asciiTheme="minorHAnsi" w:hAnsiTheme="minorHAnsi" w:cstheme="minorHAnsi"/>
          <w:sz w:val="22"/>
        </w:rPr>
        <w:t>effect as of</w:t>
      </w:r>
      <w:r w:rsidR="001E067B" w:rsidRPr="004F50D4">
        <w:rPr>
          <w:rFonts w:asciiTheme="minorHAnsi" w:hAnsiTheme="minorHAnsi" w:cstheme="minorHAnsi"/>
          <w:sz w:val="22"/>
        </w:rPr>
        <w:t xml:space="preserve">, and from </w:t>
      </w:r>
      <w:r w:rsidR="00CD643B" w:rsidRPr="004F50D4">
        <w:rPr>
          <w:rFonts w:asciiTheme="minorHAnsi" w:hAnsiTheme="minorHAnsi" w:cstheme="minorHAnsi"/>
          <w:sz w:val="22"/>
        </w:rPr>
        <w:t xml:space="preserve">DATE, and penal charge(s) as referred to </w:t>
      </w:r>
      <w:r w:rsidR="001E067B" w:rsidRPr="004F50D4">
        <w:rPr>
          <w:rFonts w:asciiTheme="minorHAnsi" w:hAnsiTheme="minorHAnsi" w:cstheme="minorHAnsi"/>
          <w:sz w:val="22"/>
        </w:rPr>
        <w:t xml:space="preserve">in </w:t>
      </w:r>
      <w:r w:rsidR="00A101BB">
        <w:rPr>
          <w:rFonts w:asciiTheme="minorHAnsi" w:hAnsiTheme="minorHAnsi" w:cstheme="minorHAnsi"/>
          <w:sz w:val="22"/>
        </w:rPr>
        <w:t xml:space="preserve">clause </w:t>
      </w:r>
      <w:proofErr w:type="gramStart"/>
      <w:r w:rsidR="00A101BB">
        <w:rPr>
          <w:rFonts w:asciiTheme="minorHAnsi" w:hAnsiTheme="minorHAnsi" w:cstheme="minorHAnsi"/>
          <w:sz w:val="22"/>
        </w:rPr>
        <w:t>[ ]</w:t>
      </w:r>
      <w:proofErr w:type="gramEnd"/>
      <w:r w:rsidR="001E067B" w:rsidRPr="004F50D4">
        <w:rPr>
          <w:rFonts w:asciiTheme="minorHAnsi" w:hAnsiTheme="minorHAnsi" w:cstheme="minorHAnsi"/>
          <w:sz w:val="22"/>
        </w:rPr>
        <w:t xml:space="preserve"> </w:t>
      </w:r>
      <w:r w:rsidR="00CD643B" w:rsidRPr="004F50D4">
        <w:rPr>
          <w:rFonts w:asciiTheme="minorHAnsi" w:hAnsiTheme="minorHAnsi" w:cstheme="minorHAnsi"/>
          <w:sz w:val="22"/>
        </w:rPr>
        <w:t>above shall apply on and from DATE.”</w:t>
      </w:r>
    </w:p>
    <w:p w14:paraId="13393F67" w14:textId="0785673D" w:rsidR="00F159DB" w:rsidRPr="004F50D4" w:rsidRDefault="00F159DB" w:rsidP="004F50D4">
      <w:pPr>
        <w:spacing w:after="0" w:line="240" w:lineRule="auto"/>
        <w:ind w:left="253" w:right="233"/>
        <w:rPr>
          <w:rFonts w:asciiTheme="minorHAnsi" w:hAnsiTheme="minorHAnsi" w:cstheme="minorHAnsi"/>
          <w:sz w:val="22"/>
        </w:rPr>
      </w:pPr>
      <w:r w:rsidRPr="004F50D4">
        <w:rPr>
          <w:rFonts w:asciiTheme="minorHAnsi" w:hAnsiTheme="minorHAnsi" w:cstheme="minorHAnsi"/>
          <w:sz w:val="22"/>
        </w:rPr>
        <w:t xml:space="preserve"> </w:t>
      </w:r>
    </w:p>
    <w:p w14:paraId="4B940F0D" w14:textId="28B96CB9" w:rsidR="00E12239" w:rsidRPr="003909AC" w:rsidRDefault="00E12239" w:rsidP="003909AC">
      <w:pPr>
        <w:spacing w:line="259" w:lineRule="auto"/>
        <w:ind w:left="730" w:right="233"/>
        <w:rPr>
          <w:sz w:val="22"/>
        </w:rPr>
      </w:pPr>
      <w:r w:rsidRPr="00E7630E">
        <w:rPr>
          <w:rFonts w:asciiTheme="minorHAnsi" w:hAnsiTheme="minorHAnsi" w:cstheme="minorHAnsi"/>
          <w:b/>
          <w:bCs/>
          <w:sz w:val="22"/>
        </w:rPr>
        <w:t xml:space="preserve">Annexure </w:t>
      </w:r>
      <w:r w:rsidR="0010281C">
        <w:rPr>
          <w:rFonts w:asciiTheme="minorHAnsi" w:hAnsiTheme="minorHAnsi" w:cstheme="minorHAnsi"/>
          <w:b/>
          <w:bCs/>
          <w:sz w:val="22"/>
        </w:rPr>
        <w:t>2</w:t>
      </w:r>
      <w:r w:rsidRPr="00E7630E">
        <w:rPr>
          <w:rFonts w:asciiTheme="minorHAnsi" w:hAnsiTheme="minorHAnsi" w:cstheme="minorHAnsi"/>
          <w:sz w:val="22"/>
        </w:rPr>
        <w:t xml:space="preserve">: </w:t>
      </w:r>
      <w:r w:rsidR="000628A5">
        <w:rPr>
          <w:rFonts w:asciiTheme="minorHAnsi" w:hAnsiTheme="minorHAnsi" w:cstheme="minorHAnsi"/>
          <w:sz w:val="22"/>
        </w:rPr>
        <w:t xml:space="preserve">The </w:t>
      </w:r>
      <w:r w:rsidRPr="00E7630E">
        <w:rPr>
          <w:rFonts w:asciiTheme="minorHAnsi" w:hAnsiTheme="minorHAnsi" w:cstheme="minorHAnsi"/>
          <w:sz w:val="22"/>
        </w:rPr>
        <w:t>R</w:t>
      </w:r>
      <w:r w:rsidR="000628A5">
        <w:rPr>
          <w:rFonts w:asciiTheme="minorHAnsi" w:hAnsiTheme="minorHAnsi" w:cstheme="minorHAnsi"/>
          <w:sz w:val="22"/>
        </w:rPr>
        <w:t xml:space="preserve">egulation. </w:t>
      </w:r>
    </w:p>
    <w:p w14:paraId="26A0CD7E" w14:textId="56A05236" w:rsidR="00B956D5" w:rsidRPr="00A3324B" w:rsidRDefault="00494188" w:rsidP="003909AC">
      <w:pPr>
        <w:spacing w:line="259" w:lineRule="auto"/>
        <w:ind w:left="253" w:right="233"/>
        <w:rPr>
          <w:sz w:val="22"/>
        </w:rPr>
      </w:pPr>
      <w:r>
        <w:rPr>
          <w:sz w:val="22"/>
        </w:rPr>
        <w:tab/>
      </w:r>
      <w:r>
        <w:rPr>
          <w:sz w:val="22"/>
        </w:rPr>
        <w:object w:dxaOrig="1504" w:dyaOrig="982" w14:anchorId="5F7E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9" o:title=""/>
          </v:shape>
          <o:OLEObject Type="Embed" ProgID="Acrobat.Document.DC" ShapeID="_x0000_i1025" DrawAspect="Icon" ObjectID="_1769264318" r:id="rId10"/>
        </w:object>
      </w:r>
    </w:p>
    <w:sectPr w:rsidR="00B956D5" w:rsidRPr="00A3324B" w:rsidSect="000C1C2A">
      <w:headerReference w:type="default" r:id="rId11"/>
      <w:footerReference w:type="even" r:id="rId12"/>
      <w:footerReference w:type="default" r:id="rId13"/>
      <w:headerReference w:type="first" r:id="rId14"/>
      <w:footerReference w:type="first" r:id="rId15"/>
      <w:pgSz w:w="11906" w:h="16838" w:code="9"/>
      <w:pgMar w:top="1440" w:right="1286" w:bottom="990" w:left="12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D2D7" w14:textId="77777777" w:rsidR="00735F37" w:rsidRDefault="00735F37">
      <w:pPr>
        <w:spacing w:after="0" w:line="240" w:lineRule="auto"/>
      </w:pPr>
      <w:r>
        <w:separator/>
      </w:r>
    </w:p>
  </w:endnote>
  <w:endnote w:type="continuationSeparator" w:id="0">
    <w:p w14:paraId="3DAA9EF4" w14:textId="77777777" w:rsidR="00735F37" w:rsidRDefault="0073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rclays Serif">
    <w:altName w:val="Candara"/>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clays Sans">
    <w:altName w:val="Expert Sans Regular"/>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16B4" w14:textId="77777777" w:rsidR="00EF6CEE" w:rsidRDefault="00EF6CEE">
    <w:pPr>
      <w:spacing w:after="160" w:line="259" w:lineRule="auto"/>
      <w:ind w:left="1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0C2B090" w14:textId="77777777" w:rsidR="00EF6CEE" w:rsidRDefault="00EF6CEE">
    <w:pPr>
      <w:spacing w:after="0" w:line="259" w:lineRule="auto"/>
      <w:ind w:left="258"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897669"/>
      <w:docPartObj>
        <w:docPartGallery w:val="Page Numbers (Bottom of Page)"/>
        <w:docPartUnique/>
      </w:docPartObj>
    </w:sdtPr>
    <w:sdtEndPr>
      <w:rPr>
        <w:noProof/>
      </w:rPr>
    </w:sdtEndPr>
    <w:sdtContent>
      <w:p w14:paraId="6ECF0E42" w14:textId="76075FD9" w:rsidR="00EF6CEE" w:rsidRDefault="00EF6CEE">
        <w:pPr>
          <w:pStyle w:val="Footer"/>
          <w:jc w:val="right"/>
        </w:pPr>
        <w:r>
          <w:fldChar w:fldCharType="begin"/>
        </w:r>
        <w:r>
          <w:instrText xml:space="preserve"> PAGE   \* MERGEFORMAT </w:instrText>
        </w:r>
        <w:r>
          <w:fldChar w:fldCharType="separate"/>
        </w:r>
        <w:r w:rsidR="008B1EBA">
          <w:rPr>
            <w:noProof/>
          </w:rPr>
          <w:t>8</w:t>
        </w:r>
        <w:r>
          <w:rPr>
            <w:noProof/>
          </w:rPr>
          <w:fldChar w:fldCharType="end"/>
        </w:r>
      </w:p>
    </w:sdtContent>
  </w:sdt>
  <w:p w14:paraId="7719D158" w14:textId="69EE1CAD" w:rsidR="00EF6CEE" w:rsidRDefault="00EF6CEE">
    <w:pPr>
      <w:spacing w:after="0" w:line="259" w:lineRule="auto"/>
      <w:ind w:left="2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775272"/>
      <w:docPartObj>
        <w:docPartGallery w:val="Page Numbers (Bottom of Page)"/>
        <w:docPartUnique/>
      </w:docPartObj>
    </w:sdtPr>
    <w:sdtEndPr>
      <w:rPr>
        <w:noProof/>
      </w:rPr>
    </w:sdtEndPr>
    <w:sdtContent>
      <w:p w14:paraId="564F097E" w14:textId="3DB499B8" w:rsidR="00EF6CEE" w:rsidRDefault="00EF6CEE">
        <w:pPr>
          <w:pStyle w:val="Footer"/>
          <w:jc w:val="right"/>
        </w:pPr>
        <w:r>
          <w:fldChar w:fldCharType="begin"/>
        </w:r>
        <w:r>
          <w:instrText xml:space="preserve"> PAGE   \* MERGEFORMAT </w:instrText>
        </w:r>
        <w:r>
          <w:fldChar w:fldCharType="separate"/>
        </w:r>
        <w:r w:rsidR="004C2F0B">
          <w:rPr>
            <w:noProof/>
          </w:rPr>
          <w:t>1</w:t>
        </w:r>
        <w:r>
          <w:rPr>
            <w:noProof/>
          </w:rPr>
          <w:fldChar w:fldCharType="end"/>
        </w:r>
      </w:p>
    </w:sdtContent>
  </w:sdt>
  <w:p w14:paraId="312C0389" w14:textId="77777777" w:rsidR="00EF6CEE" w:rsidRDefault="00EF6C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C460" w14:textId="77777777" w:rsidR="00735F37" w:rsidRDefault="00735F37">
      <w:pPr>
        <w:spacing w:after="0" w:line="240" w:lineRule="auto"/>
      </w:pPr>
      <w:r>
        <w:separator/>
      </w:r>
    </w:p>
  </w:footnote>
  <w:footnote w:type="continuationSeparator" w:id="0">
    <w:p w14:paraId="1DC439BD" w14:textId="77777777" w:rsidR="00735F37" w:rsidRDefault="00735F37">
      <w:pPr>
        <w:spacing w:after="0" w:line="240" w:lineRule="auto"/>
      </w:pPr>
      <w:r>
        <w:continuationSeparator/>
      </w:r>
    </w:p>
  </w:footnote>
  <w:footnote w:id="1">
    <w:p w14:paraId="303B8EB0" w14:textId="7204C314" w:rsidR="00EF6CEE" w:rsidRDefault="00EF6CEE" w:rsidP="00F77C81">
      <w:pPr>
        <w:pStyle w:val="FootnoteText"/>
        <w:ind w:left="720" w:hanging="720"/>
      </w:pPr>
      <w:r>
        <w:rPr>
          <w:rStyle w:val="FootnoteReference"/>
        </w:rPr>
        <w:footnoteRef/>
      </w:r>
      <w:r>
        <w:t xml:space="preserve"> </w:t>
      </w:r>
      <w:r>
        <w:tab/>
      </w:r>
      <w:r w:rsidRPr="006302FB">
        <w:rPr>
          <w:rFonts w:asciiTheme="minorHAnsi" w:hAnsiTheme="minorHAnsi" w:cstheme="minorHAnsi"/>
          <w:sz w:val="18"/>
          <w:szCs w:val="18"/>
        </w:rPr>
        <w:t>RBI/2023-24/53 - DoR.MCS.REC.28/01.01.001/2023-24 - August 18, 2023</w:t>
      </w:r>
      <w:r>
        <w:rPr>
          <w:rFonts w:asciiTheme="minorHAnsi" w:hAnsiTheme="minorHAnsi" w:cstheme="minorHAnsi"/>
          <w:sz w:val="18"/>
          <w:szCs w:val="18"/>
        </w:rPr>
        <w:t>.</w:t>
      </w:r>
      <w:r w:rsidR="0084558F">
        <w:rPr>
          <w:rFonts w:asciiTheme="minorHAnsi" w:hAnsiTheme="minorHAnsi" w:cstheme="minorHAnsi"/>
          <w:sz w:val="18"/>
          <w:szCs w:val="18"/>
        </w:rPr>
        <w:t xml:space="preserve"> – </w:t>
      </w:r>
      <w:r w:rsidR="0084558F" w:rsidRPr="00753E97">
        <w:rPr>
          <w:rFonts w:asciiTheme="minorHAnsi" w:hAnsiTheme="minorHAnsi" w:cstheme="minorHAnsi"/>
          <w:b/>
          <w:sz w:val="18"/>
          <w:szCs w:val="18"/>
        </w:rPr>
        <w:t>Annexure 3</w:t>
      </w:r>
    </w:p>
  </w:footnote>
  <w:footnote w:id="2">
    <w:p w14:paraId="411108E6" w14:textId="62EF122B" w:rsidR="00EF6CEE" w:rsidRDefault="00EF6CEE" w:rsidP="00E85442">
      <w:pPr>
        <w:pStyle w:val="FootnoteText"/>
        <w:ind w:left="720" w:hanging="720"/>
      </w:pPr>
      <w:r>
        <w:rPr>
          <w:rStyle w:val="FootnoteReference"/>
        </w:rPr>
        <w:footnoteRef/>
      </w:r>
      <w:r>
        <w:t xml:space="preserve"> </w:t>
      </w:r>
      <w:r>
        <w:tab/>
      </w:r>
      <w:r w:rsidRPr="006302FB">
        <w:rPr>
          <w:rFonts w:asciiTheme="minorHAnsi" w:hAnsiTheme="minorHAnsi" w:cstheme="minorHAnsi"/>
          <w:sz w:val="18"/>
          <w:szCs w:val="18"/>
        </w:rPr>
        <w:t>Not applicable to Credit Cards, External Commercial Borrowings, Trade Credits and Structured Obligations which are covered under product specific directions.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631F" w14:textId="06BDDA65" w:rsidR="007F0C97" w:rsidRPr="007F0C97" w:rsidRDefault="00EF6CEE" w:rsidP="007F0C97">
    <w:pPr>
      <w:pStyle w:val="Header"/>
      <w:ind w:left="10"/>
      <w:jc w:val="left"/>
      <w:rPr>
        <w:sz w:val="28"/>
        <w:szCs w:val="28"/>
      </w:rPr>
    </w:pPr>
    <w:r w:rsidRPr="005058DB">
      <w:rPr>
        <w:noProof/>
        <w:sz w:val="20"/>
        <w:szCs w:val="20"/>
      </w:rPr>
      <w:drawing>
        <wp:inline distT="0" distB="0" distL="0" distR="0" wp14:anchorId="731483AD" wp14:editId="750C7057">
          <wp:extent cx="1867535" cy="944880"/>
          <wp:effectExtent l="0" t="0" r="0" b="0"/>
          <wp:docPr id="19" name="Picture 19" descr="BARCLAYS_COL_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CLAYS_COL_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35" cy="944880"/>
                  </a:xfrm>
                  <a:prstGeom prst="rect">
                    <a:avLst/>
                  </a:prstGeom>
                  <a:noFill/>
                  <a:ln>
                    <a:noFill/>
                  </a:ln>
                  <a:effectLst/>
                </pic:spPr>
              </pic:pic>
            </a:graphicData>
          </a:graphic>
        </wp:inline>
      </w:drawing>
    </w:r>
    <w:r w:rsidR="007F0C97">
      <w:t xml:space="preserve">                 </w:t>
    </w:r>
    <w:r w:rsidR="007F0C97" w:rsidRPr="00734E81">
      <w:rPr>
        <w:u w:val="single"/>
      </w:rPr>
      <w:t xml:space="preserve"> </w:t>
    </w:r>
  </w:p>
  <w:p w14:paraId="3696C0E3" w14:textId="007B6180" w:rsidR="00EF6CEE" w:rsidRDefault="00EF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2448" w14:textId="0EC89438" w:rsidR="00EF6CEE" w:rsidRPr="007F0C97" w:rsidRDefault="00EF6CEE" w:rsidP="007F0C97">
    <w:pPr>
      <w:pStyle w:val="Header"/>
      <w:ind w:left="10"/>
      <w:jc w:val="left"/>
      <w:rPr>
        <w:sz w:val="28"/>
        <w:szCs w:val="28"/>
      </w:rPr>
    </w:pPr>
    <w:r w:rsidRPr="005058DB">
      <w:rPr>
        <w:noProof/>
        <w:sz w:val="20"/>
        <w:szCs w:val="20"/>
      </w:rPr>
      <w:drawing>
        <wp:inline distT="0" distB="0" distL="0" distR="0" wp14:anchorId="4314A6C3" wp14:editId="49DD23A7">
          <wp:extent cx="1867535" cy="781050"/>
          <wp:effectExtent l="0" t="0" r="0" b="0"/>
          <wp:docPr id="20" name="Picture 20" descr="BARCLAYS_COL_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CLAYS_COL_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35" cy="781050"/>
                  </a:xfrm>
                  <a:prstGeom prst="rect">
                    <a:avLst/>
                  </a:prstGeom>
                  <a:noFill/>
                  <a:ln>
                    <a:noFill/>
                  </a:ln>
                  <a:effectLst/>
                </pic:spPr>
              </pic:pic>
            </a:graphicData>
          </a:graphic>
        </wp:inline>
      </w:drawing>
    </w:r>
    <w:r w:rsidR="007F0C97">
      <w:t xml:space="preserve">                  </w:t>
    </w:r>
  </w:p>
  <w:p w14:paraId="0CCEF301" w14:textId="77777777" w:rsidR="00EF6CEE" w:rsidRDefault="00EF6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54E"/>
    <w:multiLevelType w:val="hybridMultilevel"/>
    <w:tmpl w:val="1D686130"/>
    <w:lvl w:ilvl="0" w:tplc="C498B472">
      <w:start w:val="1"/>
      <w:numFmt w:val="lowerRoman"/>
      <w:lvlText w:val="(%1)"/>
      <w:lvlJc w:val="left"/>
      <w:pPr>
        <w:ind w:left="963" w:hanging="72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 w15:restartNumberingAfterBreak="0">
    <w:nsid w:val="03B868B1"/>
    <w:multiLevelType w:val="hybridMultilevel"/>
    <w:tmpl w:val="5C2210C6"/>
    <w:lvl w:ilvl="0" w:tplc="D1C2ABB6">
      <w:numFmt w:val="bullet"/>
      <w:lvlText w:val="-"/>
      <w:lvlJc w:val="left"/>
      <w:pPr>
        <w:ind w:left="978" w:hanging="360"/>
      </w:pPr>
      <w:rPr>
        <w:rFonts w:ascii="Barclays Serif" w:eastAsia="Times New Roman" w:hAnsi="Barclays Serif" w:cs="Times New Roman"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 w15:restartNumberingAfterBreak="0">
    <w:nsid w:val="044A4725"/>
    <w:multiLevelType w:val="hybridMultilevel"/>
    <w:tmpl w:val="1750BFE4"/>
    <w:lvl w:ilvl="0" w:tplc="CCF0870A">
      <w:start w:val="2"/>
      <w:numFmt w:val="bullet"/>
      <w:lvlText w:val="-"/>
      <w:lvlJc w:val="left"/>
      <w:pPr>
        <w:ind w:left="618" w:hanging="360"/>
      </w:pPr>
      <w:rPr>
        <w:rFonts w:ascii="Arial" w:eastAsia="Arial" w:hAnsi="Arial" w:cs="Aria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3" w15:restartNumberingAfterBreak="0">
    <w:nsid w:val="0AB91729"/>
    <w:multiLevelType w:val="multilevel"/>
    <w:tmpl w:val="697648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CC12B8"/>
    <w:multiLevelType w:val="hybridMultilevel"/>
    <w:tmpl w:val="8A6A690E"/>
    <w:lvl w:ilvl="0" w:tplc="DDBC371E">
      <w:start w:val="2"/>
      <w:numFmt w:val="decimal"/>
      <w:lvlText w:val="%1."/>
      <w:lvlJc w:val="left"/>
      <w:pPr>
        <w:ind w:left="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7A3932">
      <w:start w:val="1"/>
      <w:numFmt w:val="lowerLetter"/>
      <w:lvlText w:val="%2"/>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788DD8">
      <w:start w:val="1"/>
      <w:numFmt w:val="lowerRoman"/>
      <w:lvlText w:val="%3"/>
      <w:lvlJc w:val="left"/>
      <w:pPr>
        <w:ind w:left="2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04E146">
      <w:start w:val="1"/>
      <w:numFmt w:val="decimal"/>
      <w:lvlText w:val="%4"/>
      <w:lvlJc w:val="left"/>
      <w:pPr>
        <w:ind w:left="2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CA3DA">
      <w:start w:val="1"/>
      <w:numFmt w:val="lowerLetter"/>
      <w:lvlText w:val="%5"/>
      <w:lvlJc w:val="left"/>
      <w:pPr>
        <w:ind w:left="3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CE1764">
      <w:start w:val="1"/>
      <w:numFmt w:val="lowerRoman"/>
      <w:lvlText w:val="%6"/>
      <w:lvlJc w:val="left"/>
      <w:pPr>
        <w:ind w:left="4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AC7080">
      <w:start w:val="1"/>
      <w:numFmt w:val="decimal"/>
      <w:lvlText w:val="%7"/>
      <w:lvlJc w:val="left"/>
      <w:pPr>
        <w:ind w:left="4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06F408">
      <w:start w:val="1"/>
      <w:numFmt w:val="lowerLetter"/>
      <w:lvlText w:val="%8"/>
      <w:lvlJc w:val="left"/>
      <w:pPr>
        <w:ind w:left="5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CCD408">
      <w:start w:val="1"/>
      <w:numFmt w:val="lowerRoman"/>
      <w:lvlText w:val="%9"/>
      <w:lvlJc w:val="left"/>
      <w:pPr>
        <w:ind w:left="6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F17B28"/>
    <w:multiLevelType w:val="hybridMultilevel"/>
    <w:tmpl w:val="A5C854B0"/>
    <w:lvl w:ilvl="0" w:tplc="7A8E3EC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49B"/>
    <w:multiLevelType w:val="hybridMultilevel"/>
    <w:tmpl w:val="F8CC57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4E61BB"/>
    <w:multiLevelType w:val="hybridMultilevel"/>
    <w:tmpl w:val="3AB47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595891"/>
    <w:multiLevelType w:val="hybridMultilevel"/>
    <w:tmpl w:val="9AF05F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C78C4"/>
    <w:multiLevelType w:val="hybridMultilevel"/>
    <w:tmpl w:val="74206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87A24"/>
    <w:multiLevelType w:val="hybridMultilevel"/>
    <w:tmpl w:val="F87C62A4"/>
    <w:lvl w:ilvl="0" w:tplc="83828BCC">
      <w:start w:val="4"/>
      <w:numFmt w:val="decimal"/>
      <w:lvlText w:val="%1."/>
      <w:lvlJc w:val="left"/>
      <w:pPr>
        <w:ind w:left="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A86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4C0B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F255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1AA3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607A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5000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0C4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481E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1A42D4"/>
    <w:multiLevelType w:val="multilevel"/>
    <w:tmpl w:val="16FC494E"/>
    <w:lvl w:ilvl="0">
      <w:start w:val="6"/>
      <w:numFmt w:val="decimal"/>
      <w:lvlText w:val="%1"/>
      <w:lvlJc w:val="left"/>
      <w:pPr>
        <w:ind w:left="360" w:hanging="360"/>
      </w:pPr>
      <w:rPr>
        <w:rFonts w:hint="default"/>
      </w:rPr>
    </w:lvl>
    <w:lvl w:ilvl="1">
      <w:start w:val="2"/>
      <w:numFmt w:val="decimal"/>
      <w:lvlText w:val="%1.%2"/>
      <w:lvlJc w:val="left"/>
      <w:pPr>
        <w:ind w:left="618" w:hanging="36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504" w:hanging="1440"/>
      </w:pPr>
      <w:rPr>
        <w:rFonts w:hint="default"/>
      </w:rPr>
    </w:lvl>
  </w:abstractNum>
  <w:abstractNum w:abstractNumId="12" w15:restartNumberingAfterBreak="0">
    <w:nsid w:val="5CD22A44"/>
    <w:multiLevelType w:val="hybridMultilevel"/>
    <w:tmpl w:val="6C903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97392"/>
    <w:multiLevelType w:val="hybridMultilevel"/>
    <w:tmpl w:val="EE106BB2"/>
    <w:lvl w:ilvl="0" w:tplc="27DA285C">
      <w:start w:val="1"/>
      <w:numFmt w:val="lowerRoman"/>
      <w:lvlText w:val="(%1)"/>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AAECE">
      <w:start w:val="1"/>
      <w:numFmt w:val="lowerLetter"/>
      <w:lvlText w:val="%2"/>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584C98">
      <w:start w:val="1"/>
      <w:numFmt w:val="lowerRoman"/>
      <w:lvlText w:val="%3"/>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60B1A">
      <w:start w:val="1"/>
      <w:numFmt w:val="decimal"/>
      <w:lvlText w:val="%4"/>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4C46E">
      <w:start w:val="1"/>
      <w:numFmt w:val="lowerLetter"/>
      <w:lvlText w:val="%5"/>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CA2126">
      <w:start w:val="1"/>
      <w:numFmt w:val="lowerRoman"/>
      <w:lvlText w:val="%6"/>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8888DA">
      <w:start w:val="1"/>
      <w:numFmt w:val="decimal"/>
      <w:lvlText w:val="%7"/>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A835E">
      <w:start w:val="1"/>
      <w:numFmt w:val="lowerLetter"/>
      <w:lvlText w:val="%8"/>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D8F88C">
      <w:start w:val="1"/>
      <w:numFmt w:val="lowerRoman"/>
      <w:lvlText w:val="%9"/>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71567290">
    <w:abstractNumId w:val="4"/>
  </w:num>
  <w:num w:numId="2" w16cid:durableId="1170756117">
    <w:abstractNumId w:val="13"/>
  </w:num>
  <w:num w:numId="3" w16cid:durableId="252588281">
    <w:abstractNumId w:val="10"/>
  </w:num>
  <w:num w:numId="4" w16cid:durableId="724644092">
    <w:abstractNumId w:val="0"/>
  </w:num>
  <w:num w:numId="5" w16cid:durableId="1895240612">
    <w:abstractNumId w:val="12"/>
  </w:num>
  <w:num w:numId="6" w16cid:durableId="296496845">
    <w:abstractNumId w:val="9"/>
  </w:num>
  <w:num w:numId="7" w16cid:durableId="2066951921">
    <w:abstractNumId w:val="8"/>
  </w:num>
  <w:num w:numId="8" w16cid:durableId="606619315">
    <w:abstractNumId w:val="6"/>
  </w:num>
  <w:num w:numId="9" w16cid:durableId="120155587">
    <w:abstractNumId w:val="7"/>
  </w:num>
  <w:num w:numId="10" w16cid:durableId="875896422">
    <w:abstractNumId w:val="1"/>
  </w:num>
  <w:num w:numId="11" w16cid:durableId="1051878810">
    <w:abstractNumId w:val="5"/>
  </w:num>
  <w:num w:numId="12" w16cid:durableId="2099329147">
    <w:abstractNumId w:val="3"/>
  </w:num>
  <w:num w:numId="13" w16cid:durableId="1952008318">
    <w:abstractNumId w:val="2"/>
  </w:num>
  <w:num w:numId="14" w16cid:durableId="1750738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72"/>
    <w:rsid w:val="00007278"/>
    <w:rsid w:val="00046641"/>
    <w:rsid w:val="000628A5"/>
    <w:rsid w:val="00067975"/>
    <w:rsid w:val="00084A3D"/>
    <w:rsid w:val="000915FF"/>
    <w:rsid w:val="000A0000"/>
    <w:rsid w:val="000A61F7"/>
    <w:rsid w:val="000A66DD"/>
    <w:rsid w:val="000A73BA"/>
    <w:rsid w:val="000C1C2A"/>
    <w:rsid w:val="000C49CC"/>
    <w:rsid w:val="000D5815"/>
    <w:rsid w:val="000E43B9"/>
    <w:rsid w:val="0010281C"/>
    <w:rsid w:val="001417F7"/>
    <w:rsid w:val="00141954"/>
    <w:rsid w:val="0017567D"/>
    <w:rsid w:val="00186771"/>
    <w:rsid w:val="001A6F4E"/>
    <w:rsid w:val="001D7E2B"/>
    <w:rsid w:val="001E067B"/>
    <w:rsid w:val="001F037A"/>
    <w:rsid w:val="00200931"/>
    <w:rsid w:val="002176C7"/>
    <w:rsid w:val="00221FD6"/>
    <w:rsid w:val="00227AAE"/>
    <w:rsid w:val="002365D7"/>
    <w:rsid w:val="00241ECB"/>
    <w:rsid w:val="002B4FAD"/>
    <w:rsid w:val="002D1FA0"/>
    <w:rsid w:val="002F0F24"/>
    <w:rsid w:val="003175DF"/>
    <w:rsid w:val="003441AC"/>
    <w:rsid w:val="00390179"/>
    <w:rsid w:val="003909AC"/>
    <w:rsid w:val="00397E48"/>
    <w:rsid w:val="003D1A33"/>
    <w:rsid w:val="003D6E90"/>
    <w:rsid w:val="003F0B9F"/>
    <w:rsid w:val="0040445F"/>
    <w:rsid w:val="00405A82"/>
    <w:rsid w:val="00415AC3"/>
    <w:rsid w:val="0041799D"/>
    <w:rsid w:val="004214BD"/>
    <w:rsid w:val="0046022C"/>
    <w:rsid w:val="00475948"/>
    <w:rsid w:val="00485C1F"/>
    <w:rsid w:val="00494188"/>
    <w:rsid w:val="004A03B3"/>
    <w:rsid w:val="004B3410"/>
    <w:rsid w:val="004C2F0B"/>
    <w:rsid w:val="004F50D4"/>
    <w:rsid w:val="004F6E89"/>
    <w:rsid w:val="00530644"/>
    <w:rsid w:val="0053308B"/>
    <w:rsid w:val="005371CB"/>
    <w:rsid w:val="00542F37"/>
    <w:rsid w:val="005664FD"/>
    <w:rsid w:val="00575B8D"/>
    <w:rsid w:val="00586186"/>
    <w:rsid w:val="00587372"/>
    <w:rsid w:val="00592EAE"/>
    <w:rsid w:val="005E79E2"/>
    <w:rsid w:val="006040BB"/>
    <w:rsid w:val="00624449"/>
    <w:rsid w:val="006302FB"/>
    <w:rsid w:val="006613C7"/>
    <w:rsid w:val="006623D3"/>
    <w:rsid w:val="006768AA"/>
    <w:rsid w:val="00683283"/>
    <w:rsid w:val="006B07FC"/>
    <w:rsid w:val="006C15E6"/>
    <w:rsid w:val="006F79C5"/>
    <w:rsid w:val="00727D5D"/>
    <w:rsid w:val="00732CB8"/>
    <w:rsid w:val="00734E81"/>
    <w:rsid w:val="00735A1F"/>
    <w:rsid w:val="00735F37"/>
    <w:rsid w:val="00743E4C"/>
    <w:rsid w:val="0074643F"/>
    <w:rsid w:val="00751EFB"/>
    <w:rsid w:val="00753E97"/>
    <w:rsid w:val="007920E3"/>
    <w:rsid w:val="007954BC"/>
    <w:rsid w:val="007E64F8"/>
    <w:rsid w:val="007F0C97"/>
    <w:rsid w:val="00823EDA"/>
    <w:rsid w:val="00835F3E"/>
    <w:rsid w:val="0084558F"/>
    <w:rsid w:val="00860353"/>
    <w:rsid w:val="0086295E"/>
    <w:rsid w:val="008655EF"/>
    <w:rsid w:val="008B1EBA"/>
    <w:rsid w:val="008C0A11"/>
    <w:rsid w:val="008C0DCE"/>
    <w:rsid w:val="008C4072"/>
    <w:rsid w:val="008E4DCF"/>
    <w:rsid w:val="008F77AD"/>
    <w:rsid w:val="0090387B"/>
    <w:rsid w:val="00940A39"/>
    <w:rsid w:val="00941A24"/>
    <w:rsid w:val="009564E6"/>
    <w:rsid w:val="0095745B"/>
    <w:rsid w:val="00995334"/>
    <w:rsid w:val="009F1D96"/>
    <w:rsid w:val="009F1EB7"/>
    <w:rsid w:val="009F3BBB"/>
    <w:rsid w:val="00A101BB"/>
    <w:rsid w:val="00A153D8"/>
    <w:rsid w:val="00A2020D"/>
    <w:rsid w:val="00A24EFA"/>
    <w:rsid w:val="00A3324B"/>
    <w:rsid w:val="00A368EE"/>
    <w:rsid w:val="00A510A5"/>
    <w:rsid w:val="00A7602B"/>
    <w:rsid w:val="00A94833"/>
    <w:rsid w:val="00AA6152"/>
    <w:rsid w:val="00AB3E37"/>
    <w:rsid w:val="00AB68E2"/>
    <w:rsid w:val="00AC634D"/>
    <w:rsid w:val="00AE54E3"/>
    <w:rsid w:val="00AE576A"/>
    <w:rsid w:val="00AE59FC"/>
    <w:rsid w:val="00AF4545"/>
    <w:rsid w:val="00B021A9"/>
    <w:rsid w:val="00B06F97"/>
    <w:rsid w:val="00B07D12"/>
    <w:rsid w:val="00B17858"/>
    <w:rsid w:val="00B3132C"/>
    <w:rsid w:val="00B35FC9"/>
    <w:rsid w:val="00B375AE"/>
    <w:rsid w:val="00B956D5"/>
    <w:rsid w:val="00BA087F"/>
    <w:rsid w:val="00BC1673"/>
    <w:rsid w:val="00BD10AA"/>
    <w:rsid w:val="00BF00C7"/>
    <w:rsid w:val="00C00F08"/>
    <w:rsid w:val="00C05018"/>
    <w:rsid w:val="00C44EF4"/>
    <w:rsid w:val="00C44FB5"/>
    <w:rsid w:val="00C477F8"/>
    <w:rsid w:val="00C5240F"/>
    <w:rsid w:val="00C774BA"/>
    <w:rsid w:val="00C80965"/>
    <w:rsid w:val="00C84E5C"/>
    <w:rsid w:val="00CA0F34"/>
    <w:rsid w:val="00CC57A4"/>
    <w:rsid w:val="00CD5765"/>
    <w:rsid w:val="00CD643B"/>
    <w:rsid w:val="00CE1E52"/>
    <w:rsid w:val="00D03658"/>
    <w:rsid w:val="00D30D73"/>
    <w:rsid w:val="00D31ABF"/>
    <w:rsid w:val="00D37AEC"/>
    <w:rsid w:val="00D37DED"/>
    <w:rsid w:val="00D40728"/>
    <w:rsid w:val="00D56BAC"/>
    <w:rsid w:val="00D6143D"/>
    <w:rsid w:val="00DB36AC"/>
    <w:rsid w:val="00DD7944"/>
    <w:rsid w:val="00DE0BD4"/>
    <w:rsid w:val="00DF12C8"/>
    <w:rsid w:val="00DF3503"/>
    <w:rsid w:val="00E0754B"/>
    <w:rsid w:val="00E1165A"/>
    <w:rsid w:val="00E12239"/>
    <w:rsid w:val="00E17304"/>
    <w:rsid w:val="00E21272"/>
    <w:rsid w:val="00E24871"/>
    <w:rsid w:val="00E46E86"/>
    <w:rsid w:val="00E60CC4"/>
    <w:rsid w:val="00E614EF"/>
    <w:rsid w:val="00E7630E"/>
    <w:rsid w:val="00E76CA0"/>
    <w:rsid w:val="00E85442"/>
    <w:rsid w:val="00E9728D"/>
    <w:rsid w:val="00EB442A"/>
    <w:rsid w:val="00EB47AE"/>
    <w:rsid w:val="00EC4609"/>
    <w:rsid w:val="00EC7923"/>
    <w:rsid w:val="00ED5026"/>
    <w:rsid w:val="00EF6CEE"/>
    <w:rsid w:val="00F02457"/>
    <w:rsid w:val="00F04B1E"/>
    <w:rsid w:val="00F124CD"/>
    <w:rsid w:val="00F1582A"/>
    <w:rsid w:val="00F159DB"/>
    <w:rsid w:val="00F462E7"/>
    <w:rsid w:val="00F53B4B"/>
    <w:rsid w:val="00F74B74"/>
    <w:rsid w:val="00F77C81"/>
    <w:rsid w:val="00F80068"/>
    <w:rsid w:val="00F970F0"/>
    <w:rsid w:val="00FB74A6"/>
    <w:rsid w:val="00FC7675"/>
    <w:rsid w:val="00FF2825"/>
    <w:rsid w:val="00FF315D"/>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58BC"/>
  <w15:docId w15:val="{21B11E34-D165-4AC0-A6AF-F86DE358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361" w:lineRule="auto"/>
      <w:ind w:left="26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6"/>
      <w:ind w:left="1724"/>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586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510A5"/>
    <w:pPr>
      <w:tabs>
        <w:tab w:val="center" w:pos="4680"/>
        <w:tab w:val="right" w:pos="9360"/>
      </w:tabs>
      <w:spacing w:after="0" w:line="240" w:lineRule="auto"/>
    </w:pPr>
  </w:style>
  <w:style w:type="character" w:customStyle="1" w:styleId="HeaderChar">
    <w:name w:val="Header Char"/>
    <w:basedOn w:val="DefaultParagraphFont"/>
    <w:link w:val="Header"/>
    <w:rsid w:val="00A510A5"/>
    <w:rPr>
      <w:rFonts w:ascii="Arial" w:eastAsia="Arial" w:hAnsi="Arial" w:cs="Arial"/>
      <w:color w:val="000000"/>
      <w:sz w:val="24"/>
    </w:rPr>
  </w:style>
  <w:style w:type="paragraph" w:styleId="Footer">
    <w:name w:val="footer"/>
    <w:basedOn w:val="Normal"/>
    <w:link w:val="FooterChar"/>
    <w:uiPriority w:val="99"/>
    <w:unhideWhenUsed/>
    <w:rsid w:val="00A510A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10A5"/>
    <w:rPr>
      <w:rFonts w:cs="Times New Roman"/>
    </w:rPr>
  </w:style>
  <w:style w:type="paragraph" w:styleId="FootnoteText">
    <w:name w:val="footnote text"/>
    <w:basedOn w:val="Normal"/>
    <w:link w:val="FootnoteTextChar"/>
    <w:uiPriority w:val="99"/>
    <w:semiHidden/>
    <w:unhideWhenUsed/>
    <w:rsid w:val="00A510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0A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510A5"/>
    <w:rPr>
      <w:vertAlign w:val="superscript"/>
    </w:rPr>
  </w:style>
  <w:style w:type="paragraph" w:styleId="ListParagraph">
    <w:name w:val="List Paragraph"/>
    <w:basedOn w:val="Normal"/>
    <w:uiPriority w:val="34"/>
    <w:qFormat/>
    <w:rsid w:val="00BF00C7"/>
    <w:pPr>
      <w:ind w:left="720"/>
      <w:contextualSpacing/>
    </w:pPr>
  </w:style>
  <w:style w:type="paragraph" w:styleId="Revision">
    <w:name w:val="Revision"/>
    <w:hidden/>
    <w:uiPriority w:val="99"/>
    <w:semiHidden/>
    <w:rsid w:val="00141954"/>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586186"/>
    <w:rPr>
      <w:sz w:val="16"/>
      <w:szCs w:val="16"/>
    </w:rPr>
  </w:style>
  <w:style w:type="paragraph" w:styleId="CommentText">
    <w:name w:val="annotation text"/>
    <w:basedOn w:val="Normal"/>
    <w:link w:val="CommentTextChar"/>
    <w:uiPriority w:val="99"/>
    <w:unhideWhenUsed/>
    <w:rsid w:val="00586186"/>
    <w:pPr>
      <w:spacing w:line="240" w:lineRule="auto"/>
    </w:pPr>
    <w:rPr>
      <w:sz w:val="20"/>
      <w:szCs w:val="20"/>
    </w:rPr>
  </w:style>
  <w:style w:type="character" w:customStyle="1" w:styleId="CommentTextChar">
    <w:name w:val="Comment Text Char"/>
    <w:basedOn w:val="DefaultParagraphFont"/>
    <w:link w:val="CommentText"/>
    <w:uiPriority w:val="99"/>
    <w:rsid w:val="005861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86186"/>
    <w:rPr>
      <w:b/>
      <w:bCs/>
    </w:rPr>
  </w:style>
  <w:style w:type="character" w:customStyle="1" w:styleId="CommentSubjectChar">
    <w:name w:val="Comment Subject Char"/>
    <w:basedOn w:val="CommentTextChar"/>
    <w:link w:val="CommentSubject"/>
    <w:uiPriority w:val="99"/>
    <w:semiHidden/>
    <w:rsid w:val="00586186"/>
    <w:rPr>
      <w:rFonts w:ascii="Arial" w:eastAsia="Arial" w:hAnsi="Arial" w:cs="Arial"/>
      <w:b/>
      <w:bCs/>
      <w:color w:val="000000"/>
      <w:sz w:val="20"/>
      <w:szCs w:val="20"/>
    </w:rPr>
  </w:style>
  <w:style w:type="character" w:customStyle="1" w:styleId="Heading2Char">
    <w:name w:val="Heading 2 Char"/>
    <w:basedOn w:val="DefaultParagraphFont"/>
    <w:link w:val="Heading2"/>
    <w:uiPriority w:val="9"/>
    <w:semiHidden/>
    <w:rsid w:val="00586186"/>
    <w:rPr>
      <w:rFonts w:asciiTheme="majorHAnsi" w:eastAsiaTheme="majorEastAsia" w:hAnsiTheme="majorHAnsi" w:cstheme="majorBidi"/>
      <w:color w:val="2E74B5" w:themeColor="accent1" w:themeShade="BF"/>
      <w:sz w:val="26"/>
      <w:szCs w:val="26"/>
    </w:rPr>
  </w:style>
  <w:style w:type="paragraph" w:customStyle="1" w:styleId="TableHeading">
    <w:name w:val="Table Heading"/>
    <w:next w:val="Normal"/>
    <w:rsid w:val="00046641"/>
    <w:pPr>
      <w:spacing w:before="60" w:after="60" w:line="240" w:lineRule="auto"/>
      <w:jc w:val="center"/>
    </w:pPr>
    <w:rPr>
      <w:rFonts w:ascii="Barclays Sans" w:eastAsia="Times New Roman" w:hAnsi="Barclays Sans" w:cs="Times New Roman"/>
      <w:b/>
      <w:noProof/>
      <w:sz w:val="20"/>
      <w:szCs w:val="20"/>
      <w:lang w:val="en-GB" w:eastAsia="en-GB"/>
    </w:rPr>
  </w:style>
  <w:style w:type="paragraph" w:styleId="TOCHeading">
    <w:name w:val="TOC Heading"/>
    <w:basedOn w:val="Heading1"/>
    <w:next w:val="Normal"/>
    <w:uiPriority w:val="39"/>
    <w:unhideWhenUsed/>
    <w:qFormat/>
    <w:rsid w:val="00DB36AC"/>
    <w:pPr>
      <w:spacing w:before="240" w:after="0"/>
      <w:ind w:lef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B36AC"/>
    <w:pPr>
      <w:spacing w:after="100"/>
      <w:ind w:left="0"/>
    </w:pPr>
  </w:style>
  <w:style w:type="character" w:styleId="Hyperlink">
    <w:name w:val="Hyperlink"/>
    <w:basedOn w:val="DefaultParagraphFont"/>
    <w:uiPriority w:val="99"/>
    <w:unhideWhenUsed/>
    <w:rsid w:val="00DB36AC"/>
    <w:rPr>
      <w:color w:val="0563C1" w:themeColor="hyperlink"/>
      <w:u w:val="single"/>
    </w:rPr>
  </w:style>
  <w:style w:type="paragraph" w:styleId="BalloonText">
    <w:name w:val="Balloon Text"/>
    <w:basedOn w:val="Normal"/>
    <w:link w:val="BalloonTextChar"/>
    <w:uiPriority w:val="99"/>
    <w:semiHidden/>
    <w:unhideWhenUsed/>
    <w:rsid w:val="00C44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F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5927">
      <w:bodyDiv w:val="1"/>
      <w:marLeft w:val="0"/>
      <w:marRight w:val="0"/>
      <w:marTop w:val="0"/>
      <w:marBottom w:val="0"/>
      <w:divBdr>
        <w:top w:val="none" w:sz="0" w:space="0" w:color="auto"/>
        <w:left w:val="none" w:sz="0" w:space="0" w:color="auto"/>
        <w:bottom w:val="none" w:sz="0" w:space="0" w:color="auto"/>
        <w:right w:val="none" w:sz="0" w:space="0" w:color="auto"/>
      </w:divBdr>
    </w:div>
    <w:div w:id="371343291">
      <w:bodyDiv w:val="1"/>
      <w:marLeft w:val="0"/>
      <w:marRight w:val="0"/>
      <w:marTop w:val="0"/>
      <w:marBottom w:val="0"/>
      <w:divBdr>
        <w:top w:val="none" w:sz="0" w:space="0" w:color="auto"/>
        <w:left w:val="none" w:sz="0" w:space="0" w:color="auto"/>
        <w:bottom w:val="none" w:sz="0" w:space="0" w:color="auto"/>
        <w:right w:val="none" w:sz="0" w:space="0" w:color="auto"/>
      </w:divBdr>
    </w:div>
    <w:div w:id="495533607">
      <w:bodyDiv w:val="1"/>
      <w:marLeft w:val="0"/>
      <w:marRight w:val="0"/>
      <w:marTop w:val="0"/>
      <w:marBottom w:val="0"/>
      <w:divBdr>
        <w:top w:val="none" w:sz="0" w:space="0" w:color="auto"/>
        <w:left w:val="none" w:sz="0" w:space="0" w:color="auto"/>
        <w:bottom w:val="none" w:sz="0" w:space="0" w:color="auto"/>
        <w:right w:val="none" w:sz="0" w:space="0" w:color="auto"/>
      </w:divBdr>
    </w:div>
    <w:div w:id="867791697">
      <w:bodyDiv w:val="1"/>
      <w:marLeft w:val="0"/>
      <w:marRight w:val="0"/>
      <w:marTop w:val="0"/>
      <w:marBottom w:val="0"/>
      <w:divBdr>
        <w:top w:val="none" w:sz="0" w:space="0" w:color="auto"/>
        <w:left w:val="none" w:sz="0" w:space="0" w:color="auto"/>
        <w:bottom w:val="none" w:sz="0" w:space="0" w:color="auto"/>
        <w:right w:val="none" w:sz="0" w:space="0" w:color="auto"/>
      </w:divBdr>
    </w:div>
    <w:div w:id="1643078388">
      <w:bodyDiv w:val="1"/>
      <w:marLeft w:val="0"/>
      <w:marRight w:val="0"/>
      <w:marTop w:val="0"/>
      <w:marBottom w:val="0"/>
      <w:divBdr>
        <w:top w:val="none" w:sz="0" w:space="0" w:color="auto"/>
        <w:left w:val="none" w:sz="0" w:space="0" w:color="auto"/>
        <w:bottom w:val="none" w:sz="0" w:space="0" w:color="auto"/>
        <w:right w:val="none" w:sz="0" w:space="0" w:color="auto"/>
      </w:divBdr>
    </w:div>
    <w:div w:id="1976593195">
      <w:bodyDiv w:val="1"/>
      <w:marLeft w:val="0"/>
      <w:marRight w:val="0"/>
      <w:marTop w:val="0"/>
      <w:marBottom w:val="0"/>
      <w:divBdr>
        <w:top w:val="none" w:sz="0" w:space="0" w:color="auto"/>
        <w:left w:val="none" w:sz="0" w:space="0" w:color="auto"/>
        <w:bottom w:val="none" w:sz="0" w:space="0" w:color="auto"/>
        <w:right w:val="none" w:sz="0" w:space="0" w:color="auto"/>
      </w:divBdr>
    </w:div>
    <w:div w:id="211027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BS_ViewMasCirculardetails.aspx?id=124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9B5B-8946-4EA6-91A7-916A8BC0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Meghana Ravishankar Kaithwas</dc:creator>
  <cp:keywords/>
  <cp:lastModifiedBy>Grover, Namita: Private Clients (IND)</cp:lastModifiedBy>
  <cp:revision>7</cp:revision>
  <cp:lastPrinted>2024-02-08T12:22:00Z</cp:lastPrinted>
  <dcterms:created xsi:type="dcterms:W3CDTF">2024-02-02T05:39:00Z</dcterms:created>
  <dcterms:modified xsi:type="dcterms:W3CDTF">2024-02-12T12:02:00Z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-110673783</vt:i4>
  </property>
  <property fmtid="{D5CDD505-2E9C-101B-9397-08002B2CF9AE}" pid="4" name="_EmailSubject">
    <vt:lpwstr>Upload of BILIPL Fair Practices - Penal Charges Policy</vt:lpwstr>
  </property>
  <property fmtid="{D5CDD505-2E9C-101B-9397-08002B2CF9AE}" pid="5" name="_AuthorEmail">
    <vt:lpwstr>ruzbeh.sutaria@barclays.com</vt:lpwstr>
  </property>
  <property fmtid="{D5CDD505-2E9C-101B-9397-08002B2CF9AE}" pid="6" name="_AuthorEmailDisplayName">
    <vt:lpwstr>Sutaria, Ruzbeh : Private Clients (IND)</vt:lpwstr>
  </property>
  <property fmtid="{D5CDD505-2E9C-101B-9397-08002B2CF9AE}" pid="7" name="_PreviousAdHocReviewCycleID">
    <vt:i4>1099996295</vt:i4>
  </property>
  <property fmtid="{D5CDD505-2E9C-101B-9397-08002B2CF9AE}" pid="9" name="MSIP_Label_c754cbb2-29ed-4ffe-af90-a08465e0dd2c_Enabled">
    <vt:lpwstr>true</vt:lpwstr>
  </property>
  <property fmtid="{D5CDD505-2E9C-101B-9397-08002B2CF9AE}" pid="10" name="MSIP_Label_c754cbb2-29ed-4ffe-af90-a08465e0dd2c_SetDate">
    <vt:lpwstr>2024-02-08T12:22:42Z</vt:lpwstr>
  </property>
  <property fmtid="{D5CDD505-2E9C-101B-9397-08002B2CF9AE}" pid="11" name="MSIP_Label_c754cbb2-29ed-4ffe-af90-a08465e0dd2c_Method">
    <vt:lpwstr>Privileged</vt:lpwstr>
  </property>
  <property fmtid="{D5CDD505-2E9C-101B-9397-08002B2CF9AE}" pid="12" name="MSIP_Label_c754cbb2-29ed-4ffe-af90-a08465e0dd2c_Name">
    <vt:lpwstr>Unrestricted</vt:lpwstr>
  </property>
  <property fmtid="{D5CDD505-2E9C-101B-9397-08002B2CF9AE}" pid="13" name="MSIP_Label_c754cbb2-29ed-4ffe-af90-a08465e0dd2c_SiteId">
    <vt:lpwstr>c4b62f1d-01e0-4107-a0cc-5ac886858b23</vt:lpwstr>
  </property>
  <property fmtid="{D5CDD505-2E9C-101B-9397-08002B2CF9AE}" pid="14" name="MSIP_Label_c754cbb2-29ed-4ffe-af90-a08465e0dd2c_ActionId">
    <vt:lpwstr>ab8a5024-a213-4885-99cc-5f3c8a122b14</vt:lpwstr>
  </property>
  <property fmtid="{D5CDD505-2E9C-101B-9397-08002B2CF9AE}" pid="15" name="MSIP_Label_c754cbb2-29ed-4ffe-af90-a08465e0dd2c_ContentBits">
    <vt:lpwstr>0</vt:lpwstr>
  </property>
  <property fmtid="{D5CDD505-2E9C-101B-9397-08002B2CF9AE}" pid="16" name="BarclaysDC">
    <vt:lpwstr>Unrestricted</vt:lpwstr>
  </property>
</Properties>
</file>